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70" w:rsidRDefault="0039034B">
      <w:pPr>
        <w:pStyle w:val="ATitel"/>
      </w:pPr>
      <w:bookmarkStart w:id="0" w:name="_Toc106864968"/>
      <w:bookmarkStart w:id="1" w:name="_Ref108513125"/>
      <w:bookmarkStart w:id="2" w:name="_Ref108513126"/>
      <w:bookmarkStart w:id="3" w:name="_Toc10443186"/>
      <w:r w:rsidRPr="0039034B">
        <w:rPr>
          <w:highlight w:val="yellow"/>
        </w:rPr>
        <w:t xml:space="preserve">[Format </w:t>
      </w:r>
      <w:proofErr w:type="spellStart"/>
      <w:r w:rsidRPr="0039034B">
        <w:rPr>
          <w:highlight w:val="yellow"/>
        </w:rPr>
        <w:t>A_Titel</w:t>
      </w:r>
      <w:proofErr w:type="spellEnd"/>
      <w:r w:rsidRPr="0039034B">
        <w:rPr>
          <w:highlight w:val="yellow"/>
        </w:rPr>
        <w:t>]</w:t>
      </w:r>
      <w:proofErr w:type="spellStart"/>
      <w:r w:rsidR="003F6570">
        <w:t>Good</w:t>
      </w:r>
      <w:proofErr w:type="spellEnd"/>
      <w:r w:rsidR="003F6570">
        <w:t xml:space="preserve"> </w:t>
      </w:r>
      <w:proofErr w:type="spellStart"/>
      <w:r w:rsidR="003F6570">
        <w:t>Governance</w:t>
      </w:r>
      <w:proofErr w:type="spellEnd"/>
      <w:r w:rsidR="003F6570">
        <w:t xml:space="preserve"> in der europäischen Agrarumweltpolitik: </w:t>
      </w:r>
      <w:r w:rsidR="003F6570">
        <w:br/>
        <w:t xml:space="preserve">Eine institutionenökonomische </w:t>
      </w:r>
      <w:proofErr w:type="spellStart"/>
      <w:r w:rsidR="003F6570">
        <w:t>Mehrebenenanalyse</w:t>
      </w:r>
      <w:bookmarkStart w:id="4" w:name="_GoBack"/>
      <w:bookmarkEnd w:id="4"/>
      <w:proofErr w:type="spellEnd"/>
    </w:p>
    <w:p w:rsidR="006C2C94" w:rsidRDefault="00D33CB2" w:rsidP="006C2C94">
      <w:pPr>
        <w:pStyle w:val="AAutoren"/>
      </w:pPr>
      <w:r w:rsidRPr="00D33CB2">
        <w:rPr>
          <w:highlight w:val="yellow"/>
        </w:rPr>
        <w:t xml:space="preserve">[Format </w:t>
      </w:r>
      <w:proofErr w:type="spellStart"/>
      <w:r w:rsidRPr="00D33CB2">
        <w:rPr>
          <w:highlight w:val="yellow"/>
        </w:rPr>
        <w:t>A_Autoren</w:t>
      </w:r>
      <w:proofErr w:type="spellEnd"/>
      <w:r w:rsidRPr="00D33CB2">
        <w:rPr>
          <w:highlight w:val="yellow"/>
        </w:rPr>
        <w:t>]</w:t>
      </w:r>
      <w:r w:rsidR="006C2C94">
        <w:t>Autor</w:t>
      </w:r>
      <w:r w:rsidR="006C2C94">
        <w:rPr>
          <w:rStyle w:val="Funotenzeichen"/>
        </w:rPr>
        <w:footnoteReference w:id="1"/>
      </w:r>
    </w:p>
    <w:p w:rsidR="003F6570" w:rsidRDefault="0039034B" w:rsidP="006C2C94">
      <w:pPr>
        <w:pStyle w:val="AZusammenfassung"/>
        <w:outlineLvl w:val="0"/>
      </w:pPr>
      <w:r w:rsidRPr="0039034B">
        <w:rPr>
          <w:highlight w:val="yellow"/>
        </w:rPr>
        <w:t xml:space="preserve">[Format </w:t>
      </w:r>
      <w:proofErr w:type="spellStart"/>
      <w:r w:rsidRPr="0039034B">
        <w:rPr>
          <w:highlight w:val="yellow"/>
        </w:rPr>
        <w:t>A_</w:t>
      </w:r>
      <w:proofErr w:type="gramStart"/>
      <w:r>
        <w:rPr>
          <w:highlight w:val="yellow"/>
        </w:rPr>
        <w:t>Zusammenfassung</w:t>
      </w:r>
      <w:proofErr w:type="spellEnd"/>
      <w:r w:rsidRPr="0039034B">
        <w:rPr>
          <w:highlight w:val="yellow"/>
        </w:rPr>
        <w:t>]</w:t>
      </w:r>
      <w:r w:rsidR="003F6570">
        <w:t>Zusammenfassung</w:t>
      </w:r>
      <w:proofErr w:type="gramEnd"/>
    </w:p>
    <w:p w:rsidR="003F6570" w:rsidRDefault="0039034B" w:rsidP="002075FC">
      <w:pPr>
        <w:pStyle w:val="AText"/>
      </w:pPr>
      <w:r w:rsidRPr="0039034B">
        <w:rPr>
          <w:highlight w:val="yellow"/>
        </w:rPr>
        <w:t xml:space="preserve">[Format </w:t>
      </w:r>
      <w:proofErr w:type="spellStart"/>
      <w:r w:rsidRPr="0039034B">
        <w:rPr>
          <w:highlight w:val="yellow"/>
        </w:rPr>
        <w:t>A_</w:t>
      </w:r>
      <w:proofErr w:type="gramStart"/>
      <w:r>
        <w:rPr>
          <w:highlight w:val="yellow"/>
        </w:rPr>
        <w:t>Text</w:t>
      </w:r>
      <w:proofErr w:type="spellEnd"/>
      <w:r w:rsidRPr="0039034B">
        <w:rPr>
          <w:highlight w:val="yellow"/>
        </w:rPr>
        <w:t>]</w:t>
      </w:r>
      <w:r w:rsidR="003F6570">
        <w:t>In</w:t>
      </w:r>
      <w:proofErr w:type="gramEnd"/>
      <w:r w:rsidR="003F6570">
        <w:t xml:space="preserve"> diesem Beitrag wird die Frage nach </w:t>
      </w:r>
      <w:proofErr w:type="spellStart"/>
      <w:r w:rsidR="003F6570">
        <w:t>Good</w:t>
      </w:r>
      <w:proofErr w:type="spellEnd"/>
      <w:r w:rsidR="003F6570">
        <w:t xml:space="preserve"> </w:t>
      </w:r>
      <w:proofErr w:type="spellStart"/>
      <w:r w:rsidR="003F6570">
        <w:t>Governance</w:t>
      </w:r>
      <w:proofErr w:type="spellEnd"/>
      <w:r w:rsidR="003F6570">
        <w:t xml:space="preserve"> am Beispiel einer dezentralen und partizipativen Ausgestaltung der Agrarumweltmaßnahmen im Rahmen der Verordnung (EG) Nr. 1257/1999 diskutiert und in wesentlichen Teilen beantwortet. Diese auf Grundlage der Effizienz- und Verteilungstheorien institutionellen Wand</w:t>
      </w:r>
      <w:r w:rsidR="00A30229">
        <w:t>els durchgeführte institutionen</w:t>
      </w:r>
      <w:r w:rsidR="003F6570">
        <w:t>öko</w:t>
      </w:r>
      <w:r w:rsidR="00A30229">
        <w:t>no</w:t>
      </w:r>
      <w:r w:rsidR="003F6570">
        <w:t xml:space="preserve">mische Analyse zeichnet sich durch eine besondere Komplexität in Form einer doppelten </w:t>
      </w:r>
      <w:proofErr w:type="spellStart"/>
      <w:r w:rsidR="003F6570">
        <w:t>Mehrebenenperspektive</w:t>
      </w:r>
      <w:proofErr w:type="spellEnd"/>
      <w:r w:rsidR="003F6570">
        <w:t xml:space="preserve"> aus: Zum einen werden mit der EU-, Bundes-, Landes- und Landkreisebene die relevanten föderalen Ebenen betrachtet. Zum anderen wird dies durch einen ebenfalls auf vier Ebenen differenzierten Institutionenbegriff ergänzt. Diese von </w:t>
      </w:r>
      <w:r w:rsidR="003F6570" w:rsidRPr="00A30229">
        <w:rPr>
          <w:smallCaps/>
        </w:rPr>
        <w:t>Ostrom</w:t>
      </w:r>
      <w:r w:rsidR="003F6570">
        <w:t xml:space="preserve"> (1998) abgeleiteten vier Regelebenen, die wiederum auf allen föderalen Ebenen lokalisiert sind, beinhalten jeweils eine Vielzahl von Regeln, die sich gegenseitig beeinflussen und deshalb von </w:t>
      </w:r>
      <w:r w:rsidR="003F6570">
        <w:rPr>
          <w:smallCaps/>
        </w:rPr>
        <w:t>Ostrom</w:t>
      </w:r>
      <w:r w:rsidR="003F6570">
        <w:t xml:space="preserve"> (1998 und 1999) als „verschachtelte Regeln“ bezeichnet werden. In dem Beitrag wird aufgezeigt, welche institutionellen Anreize und Hemmnisse das Handeln der Akteure entscheidend beeinflussen. Aufgrund der durch die kü</w:t>
      </w:r>
      <w:r w:rsidR="00A30229">
        <w:t>rzlich veröffentlichte neue Ver</w:t>
      </w:r>
      <w:r w:rsidR="003F6570">
        <w:t>ordnung (EG) Nr. 1698/2005 zur Entwicklung des ländlichen Rau</w:t>
      </w:r>
      <w:r w:rsidR="00A30229">
        <w:t>mes weiterhin bestehenden poli</w:t>
      </w:r>
      <w:r w:rsidR="003F6570">
        <w:t xml:space="preserve">tischen Relevanz werden abschließend </w:t>
      </w:r>
      <w:r w:rsidR="00A30229">
        <w:t>einige Politikempfehlungen abge</w:t>
      </w:r>
      <w:r w:rsidR="003F6570">
        <w:t>leitet.</w:t>
      </w:r>
    </w:p>
    <w:p w:rsidR="003F6570" w:rsidRDefault="0039034B" w:rsidP="00BE4567">
      <w:pPr>
        <w:pStyle w:val="AKeywords"/>
        <w:outlineLvl w:val="0"/>
      </w:pPr>
      <w:r w:rsidRPr="0039034B">
        <w:rPr>
          <w:highlight w:val="yellow"/>
        </w:rPr>
        <w:t xml:space="preserve">[Format </w:t>
      </w:r>
      <w:proofErr w:type="spellStart"/>
      <w:r w:rsidRPr="0039034B">
        <w:rPr>
          <w:highlight w:val="yellow"/>
        </w:rPr>
        <w:t>A_</w:t>
      </w:r>
      <w:proofErr w:type="gramStart"/>
      <w:r>
        <w:rPr>
          <w:highlight w:val="yellow"/>
        </w:rPr>
        <w:t>Keywords</w:t>
      </w:r>
      <w:proofErr w:type="spellEnd"/>
      <w:r w:rsidRPr="0039034B">
        <w:rPr>
          <w:highlight w:val="yellow"/>
        </w:rPr>
        <w:t>]</w:t>
      </w:r>
      <w:r w:rsidR="003F6570">
        <w:t>Keywords</w:t>
      </w:r>
      <w:proofErr w:type="gramEnd"/>
    </w:p>
    <w:p w:rsidR="003F6570" w:rsidRDefault="0039034B">
      <w:pPr>
        <w:pStyle w:val="AText"/>
      </w:pPr>
      <w:r w:rsidRPr="0039034B">
        <w:rPr>
          <w:highlight w:val="yellow"/>
        </w:rPr>
        <w:t xml:space="preserve">[Format </w:t>
      </w:r>
      <w:proofErr w:type="spellStart"/>
      <w:r w:rsidRPr="0039034B">
        <w:rPr>
          <w:highlight w:val="yellow"/>
        </w:rPr>
        <w:t>A_</w:t>
      </w:r>
      <w:proofErr w:type="gramStart"/>
      <w:r>
        <w:rPr>
          <w:highlight w:val="yellow"/>
        </w:rPr>
        <w:t>Text</w:t>
      </w:r>
      <w:proofErr w:type="spellEnd"/>
      <w:r w:rsidRPr="0039034B">
        <w:rPr>
          <w:highlight w:val="yellow"/>
        </w:rPr>
        <w:t>]</w:t>
      </w:r>
      <w:r w:rsidR="003F6570">
        <w:t>Agrarpolitik</w:t>
      </w:r>
      <w:proofErr w:type="gramEnd"/>
      <w:r w:rsidR="003F6570">
        <w:t>, Europäische Agrarumweltpolitik, Agra</w:t>
      </w:r>
      <w:r w:rsidR="00A30229">
        <w:t>rumweltmaßnahmen, Institutionen</w:t>
      </w:r>
      <w:r w:rsidR="003F6570">
        <w:t xml:space="preserve">ökonomie, Institutioneller Wandel, Politische Ökonomie. </w:t>
      </w:r>
    </w:p>
    <w:p w:rsidR="003F6570" w:rsidRDefault="0039034B" w:rsidP="00BE4567">
      <w:pPr>
        <w:pStyle w:val="Aberschrift1"/>
        <w:outlineLvl w:val="0"/>
      </w:pPr>
      <w:bookmarkStart w:id="5" w:name="_Toc90628245"/>
      <w:bookmarkStart w:id="6" w:name="_Toc106864972"/>
      <w:bookmarkStart w:id="7" w:name="_Toc108526333"/>
      <w:bookmarkEnd w:id="0"/>
      <w:bookmarkEnd w:id="1"/>
      <w:bookmarkEnd w:id="2"/>
      <w:r w:rsidRPr="0039034B">
        <w:rPr>
          <w:highlight w:val="yellow"/>
        </w:rPr>
        <w:t xml:space="preserve">[Format </w:t>
      </w:r>
      <w:proofErr w:type="spellStart"/>
      <w:r w:rsidRPr="0039034B">
        <w:rPr>
          <w:highlight w:val="yellow"/>
        </w:rPr>
        <w:t>A_</w:t>
      </w:r>
      <w:r>
        <w:rPr>
          <w:highlight w:val="yellow"/>
        </w:rPr>
        <w:t>Überschrift</w:t>
      </w:r>
      <w:proofErr w:type="spellEnd"/>
      <w:r>
        <w:rPr>
          <w:highlight w:val="yellow"/>
        </w:rPr>
        <w:t xml:space="preserve"> 1</w:t>
      </w:r>
      <w:r w:rsidRPr="0039034B">
        <w:rPr>
          <w:highlight w:val="yellow"/>
        </w:rPr>
        <w:t>]</w:t>
      </w:r>
      <w:r w:rsidR="003F6570">
        <w:t>1</w:t>
      </w:r>
      <w:r w:rsidR="003F6570">
        <w:tab/>
        <w:t>Einleitung</w:t>
      </w:r>
      <w:bookmarkEnd w:id="5"/>
      <w:bookmarkEnd w:id="6"/>
      <w:bookmarkEnd w:id="7"/>
    </w:p>
    <w:p w:rsidR="003F6570" w:rsidRDefault="0039034B">
      <w:pPr>
        <w:pStyle w:val="AText"/>
      </w:pPr>
      <w:r w:rsidRPr="0039034B">
        <w:rPr>
          <w:highlight w:val="yellow"/>
        </w:rPr>
        <w:t xml:space="preserve">[Format </w:t>
      </w:r>
      <w:proofErr w:type="spellStart"/>
      <w:r w:rsidRPr="0039034B">
        <w:rPr>
          <w:highlight w:val="yellow"/>
        </w:rPr>
        <w:t>A_</w:t>
      </w:r>
      <w:proofErr w:type="gramStart"/>
      <w:r>
        <w:rPr>
          <w:highlight w:val="yellow"/>
        </w:rPr>
        <w:t>Text</w:t>
      </w:r>
      <w:proofErr w:type="spellEnd"/>
      <w:r w:rsidRPr="0039034B">
        <w:rPr>
          <w:highlight w:val="yellow"/>
        </w:rPr>
        <w:t>]</w:t>
      </w:r>
      <w:r w:rsidR="003F6570">
        <w:rPr>
          <w:smallCaps/>
        </w:rPr>
        <w:t>Douglass</w:t>
      </w:r>
      <w:proofErr w:type="gramEnd"/>
      <w:r w:rsidR="003F6570">
        <w:rPr>
          <w:smallCaps/>
        </w:rPr>
        <w:t xml:space="preserve"> G. North</w:t>
      </w:r>
      <w:r w:rsidR="003F6570">
        <w:t xml:space="preserve"> (1992) bezeichnet Institutionen als die Spielregeln einer Gesellschaft. Es stellt sich jedoch die Frage, wann diese Spielregeln als effizient oder, anders ausgedrückt, als </w:t>
      </w:r>
      <w:proofErr w:type="spellStart"/>
      <w:r w:rsidR="003F6570">
        <w:t>Good</w:t>
      </w:r>
      <w:proofErr w:type="spellEnd"/>
      <w:r w:rsidR="003F6570">
        <w:t xml:space="preserve"> </w:t>
      </w:r>
      <w:proofErr w:type="spellStart"/>
      <w:r w:rsidR="003F6570">
        <w:t>Governance</w:t>
      </w:r>
      <w:proofErr w:type="spellEnd"/>
      <w:r w:rsidR="003F6570">
        <w:t xml:space="preserve"> bezeichnet werden können. Eine Antwort kann die Bewertung der auf bestimmte Institutionen zurückzuführenden Leistungen liefern. Sollten sich die erzielten Resultate einer Institution als unbefriedigend erweisen, schließt sich erstens die Frage an, was genau die Probleme sind und zweitens, warum sich bessere Institutionen im Sinne von </w:t>
      </w:r>
      <w:proofErr w:type="spellStart"/>
      <w:r w:rsidR="003F6570">
        <w:t>Good</w:t>
      </w:r>
      <w:proofErr w:type="spellEnd"/>
      <w:r w:rsidR="003F6570">
        <w:t xml:space="preserve"> </w:t>
      </w:r>
      <w:proofErr w:type="spellStart"/>
      <w:r w:rsidR="003F6570">
        <w:t>Governance</w:t>
      </w:r>
      <w:proofErr w:type="spellEnd"/>
      <w:r w:rsidR="003F6570">
        <w:t xml:space="preserve"> bisher noch nicht durchgesetzt haben. Diese Fragen werden im folgenden Beitrag am Beispiel der Agrarumweltmaßnahmen im Rahmen der Verordnung (EG) Nr. 1257/1999 in einer </w:t>
      </w:r>
      <w:proofErr w:type="spellStart"/>
      <w:r w:rsidR="003F6570">
        <w:t>Mehrebenenanalyse</w:t>
      </w:r>
      <w:proofErr w:type="spellEnd"/>
      <w:r w:rsidR="003F6570">
        <w:t xml:space="preserve"> auf europäischer, nationaler und Landesebene diskutiert. </w:t>
      </w:r>
    </w:p>
    <w:p w:rsidR="003F6570" w:rsidRDefault="00DD5B80">
      <w:pPr>
        <w:pStyle w:val="AText"/>
      </w:pPr>
      <w:r>
        <w:t>...</w:t>
      </w:r>
      <w:r w:rsidR="003F6570">
        <w:t xml:space="preserve"> </w:t>
      </w:r>
    </w:p>
    <w:p w:rsidR="003F6570" w:rsidRDefault="00DD5B80">
      <w:pPr>
        <w:pStyle w:val="Aberschrift1"/>
      </w:pPr>
      <w:bookmarkStart w:id="8" w:name="_Toc87170516"/>
      <w:bookmarkStart w:id="9" w:name="_Ref87170703"/>
      <w:bookmarkStart w:id="10" w:name="_Ref87170709"/>
      <w:bookmarkStart w:id="11" w:name="_Ref87321406"/>
      <w:bookmarkStart w:id="12" w:name="_Toc87329162"/>
      <w:bookmarkStart w:id="13" w:name="_Ref87358168"/>
      <w:bookmarkStart w:id="14" w:name="_Ref87875940"/>
      <w:bookmarkStart w:id="15" w:name="_Toc108327481"/>
      <w:bookmarkStart w:id="16" w:name="_Toc108526336"/>
      <w:bookmarkStart w:id="17" w:name="_Ref84808916"/>
      <w:bookmarkStart w:id="18" w:name="_Toc87329158"/>
      <w:bookmarkStart w:id="19" w:name="_Toc108327478"/>
      <w:r w:rsidRPr="0039034B">
        <w:rPr>
          <w:highlight w:val="yellow"/>
        </w:rPr>
        <w:t xml:space="preserve">[Format </w:t>
      </w:r>
      <w:proofErr w:type="spellStart"/>
      <w:r w:rsidRPr="0039034B">
        <w:rPr>
          <w:highlight w:val="yellow"/>
        </w:rPr>
        <w:t>A_</w:t>
      </w:r>
      <w:r>
        <w:rPr>
          <w:highlight w:val="yellow"/>
        </w:rPr>
        <w:t>Überschrift</w:t>
      </w:r>
      <w:proofErr w:type="spellEnd"/>
      <w:r>
        <w:rPr>
          <w:highlight w:val="yellow"/>
        </w:rPr>
        <w:t xml:space="preserve"> 1</w:t>
      </w:r>
      <w:r w:rsidRPr="0039034B">
        <w:rPr>
          <w:highlight w:val="yellow"/>
        </w:rPr>
        <w:t>]</w:t>
      </w:r>
      <w:r w:rsidR="003F6570">
        <w:t>2</w:t>
      </w:r>
      <w:r w:rsidR="003F6570">
        <w:tab/>
        <w:t>Empirische Methoden</w:t>
      </w:r>
      <w:bookmarkEnd w:id="8"/>
      <w:bookmarkEnd w:id="9"/>
      <w:bookmarkEnd w:id="10"/>
      <w:bookmarkEnd w:id="11"/>
      <w:bookmarkEnd w:id="12"/>
      <w:bookmarkEnd w:id="13"/>
      <w:bookmarkEnd w:id="14"/>
      <w:bookmarkEnd w:id="15"/>
      <w:r w:rsidR="003F6570">
        <w:t xml:space="preserve"> und Analyserahmen</w:t>
      </w:r>
      <w:bookmarkEnd w:id="16"/>
    </w:p>
    <w:p w:rsidR="003F6570" w:rsidRDefault="0039034B" w:rsidP="00BE4567">
      <w:pPr>
        <w:pStyle w:val="Aberschrift2"/>
        <w:outlineLvl w:val="0"/>
      </w:pPr>
      <w:bookmarkStart w:id="20" w:name="_Toc108526337"/>
      <w:r w:rsidRPr="0039034B">
        <w:rPr>
          <w:highlight w:val="yellow"/>
        </w:rPr>
        <w:t xml:space="preserve">[Format </w:t>
      </w:r>
      <w:proofErr w:type="spellStart"/>
      <w:r w:rsidRPr="0039034B">
        <w:rPr>
          <w:highlight w:val="yellow"/>
        </w:rPr>
        <w:t>A_</w:t>
      </w:r>
      <w:r>
        <w:rPr>
          <w:highlight w:val="yellow"/>
        </w:rPr>
        <w:t>Überschrift</w:t>
      </w:r>
      <w:proofErr w:type="spellEnd"/>
      <w:r>
        <w:rPr>
          <w:highlight w:val="yellow"/>
        </w:rPr>
        <w:t xml:space="preserve"> 2</w:t>
      </w:r>
      <w:r w:rsidRPr="0039034B">
        <w:rPr>
          <w:highlight w:val="yellow"/>
        </w:rPr>
        <w:t>]</w:t>
      </w:r>
      <w:r w:rsidR="003F6570">
        <w:t>2.1</w:t>
      </w:r>
      <w:r w:rsidR="003F6570">
        <w:tab/>
        <w:t>Die Methodenwahl</w:t>
      </w:r>
      <w:bookmarkEnd w:id="20"/>
    </w:p>
    <w:p w:rsidR="003F6570" w:rsidRDefault="003F6570">
      <w:pPr>
        <w:pStyle w:val="AText"/>
      </w:pPr>
      <w:r>
        <w:t xml:space="preserve">Die Besonderheit der hier betrachteten Forschungsfrage zum institutionellen Wandel liegt in der doppelten </w:t>
      </w:r>
      <w:proofErr w:type="spellStart"/>
      <w:r>
        <w:t>Mehrebenenbetrachtung</w:t>
      </w:r>
      <w:proofErr w:type="spellEnd"/>
      <w:r>
        <w:t xml:space="preserve"> bzw. </w:t>
      </w:r>
      <w:proofErr w:type="spellStart"/>
      <w:r>
        <w:t>Mehrebenenproblematik</w:t>
      </w:r>
      <w:proofErr w:type="spellEnd"/>
      <w:r>
        <w:rPr>
          <w:rStyle w:val="Funotenzeichen"/>
        </w:rPr>
        <w:footnoteReference w:id="2"/>
      </w:r>
      <w:r>
        <w:t xml:space="preserve">, die in dieser Form eine </w:t>
      </w:r>
      <w:r>
        <w:lastRenderedPageBreak/>
        <w:t>hohe und wenig erforschte Komplexität mit sich bringt. Um den daraus erwachsenen Herausforderungen zu entsprechen, wurde die Frage der Methodenwahl zu Gunsten eines qualitativen Ansatzes beantwortet. Die qualitative Datenanalyse ist immer dann von Vorteil, wenn es darum geht, in die Tiefe und nicht in die Breite zu gehen. Sie hat seit jeher den Ruf, besonders gut für die Exploration neuer Forschungsfelder oder die Generierung von Hypothesen geeignet zu sein. Entgegen früherer Meinungen eignet sie sich ebenso zum Testen von Hypothesen (</w:t>
      </w:r>
      <w:r>
        <w:rPr>
          <w:smallCaps/>
        </w:rPr>
        <w:t xml:space="preserve">Miles </w:t>
      </w:r>
      <w:r>
        <w:t>und</w:t>
      </w:r>
      <w:r>
        <w:rPr>
          <w:smallCaps/>
        </w:rPr>
        <w:t xml:space="preserve"> </w:t>
      </w:r>
      <w:proofErr w:type="spellStart"/>
      <w:r>
        <w:rPr>
          <w:smallCaps/>
        </w:rPr>
        <w:t>Huberman</w:t>
      </w:r>
      <w:proofErr w:type="spellEnd"/>
      <w:r>
        <w:rPr>
          <w:smallCaps/>
        </w:rPr>
        <w:t>,</w:t>
      </w:r>
      <w:r>
        <w:t xml:space="preserve"> 1994: 10). </w:t>
      </w:r>
      <w:r>
        <w:rPr>
          <w:smallCaps/>
        </w:rPr>
        <w:t>Schlüter</w:t>
      </w:r>
      <w:r>
        <w:t xml:space="preserve"> (2001) hat die Frage diskutiert, ob ein deduktives oder induktives Vorgehen grundsätzlich zu trennen ist, oder ob und inwieweit sich diese beiden scheinbar gegensätzlichen Herangehensweisen miteinander verbinden lassen. Aufbauend auf die Arbeit von </w:t>
      </w:r>
      <w:r>
        <w:rPr>
          <w:smallCaps/>
        </w:rPr>
        <w:t>Schlüter</w:t>
      </w:r>
      <w:r>
        <w:t xml:space="preserve"> (2001: 118ff) fällt auch in dieser Arbeit die Entscheidung zu Gunsten einer Verbindung der beiden Ansätze aus.</w:t>
      </w:r>
    </w:p>
    <w:p w:rsidR="003F6570" w:rsidRDefault="003F6570">
      <w:pPr>
        <w:pStyle w:val="AText"/>
      </w:pPr>
      <w:r>
        <w:t xml:space="preserve">Grundlage der in diesem Beitrag dargestellten Ergebnisse sind neben einer Dokumentenanalyse und der Auswertung des GRANO-Projektes 25 Experteninterviews auf allen politischen Ebenen. Dabei wurden Akteure der mittleren bis oberen Hierarchieebenen ausgewählt. Die Auswertung der Interviews wurde in einem mehrstufigen Verfahren mit Hilfe der Auswertungssoftware „ATLAS </w:t>
      </w:r>
      <w:proofErr w:type="spellStart"/>
      <w:r>
        <w:t>ti</w:t>
      </w:r>
      <w:proofErr w:type="spellEnd"/>
      <w:r>
        <w:t>“ durchgeführt.</w:t>
      </w:r>
    </w:p>
    <w:p w:rsidR="00DD5B80" w:rsidRDefault="00DD5B80">
      <w:pPr>
        <w:pStyle w:val="AText"/>
      </w:pPr>
      <w:r>
        <w:t>...</w:t>
      </w:r>
    </w:p>
    <w:p w:rsidR="003F6570" w:rsidRDefault="00D33CB2" w:rsidP="00D33CB2">
      <w:pPr>
        <w:pStyle w:val="ATabelle"/>
        <w:tabs>
          <w:tab w:val="left" w:pos="1701"/>
        </w:tabs>
        <w:ind w:left="1701" w:hanging="1701"/>
      </w:pPr>
      <w:bookmarkStart w:id="21" w:name="_Ref89164613"/>
      <w:bookmarkStart w:id="22" w:name="_Toc106864670"/>
      <w:bookmarkEnd w:id="17"/>
      <w:bookmarkEnd w:id="18"/>
      <w:bookmarkEnd w:id="19"/>
      <w:r w:rsidRPr="00D33CB2">
        <w:rPr>
          <w:highlight w:val="yellow"/>
        </w:rPr>
        <w:t xml:space="preserve">[Format </w:t>
      </w:r>
      <w:proofErr w:type="spellStart"/>
      <w:r w:rsidRPr="00D33CB2">
        <w:rPr>
          <w:highlight w:val="yellow"/>
        </w:rPr>
        <w:t>A_Tabelle</w:t>
      </w:r>
      <w:proofErr w:type="spellEnd"/>
      <w:r w:rsidRPr="00D33CB2">
        <w:rPr>
          <w:highlight w:val="yellow"/>
        </w:rPr>
        <w:t>]</w:t>
      </w:r>
      <w:r w:rsidR="003F6570">
        <w:t xml:space="preserve">Tabelle </w:t>
      </w:r>
      <w:r w:rsidR="00290678">
        <w:fldChar w:fldCharType="begin"/>
      </w:r>
      <w:r w:rsidR="00290678">
        <w:instrText xml:space="preserve"> SEQ Tabelle \* ARABIC \s 1 </w:instrText>
      </w:r>
      <w:r w:rsidR="00290678">
        <w:fldChar w:fldCharType="separate"/>
      </w:r>
      <w:r w:rsidR="007C2DD8">
        <w:rPr>
          <w:noProof/>
        </w:rPr>
        <w:t>1</w:t>
      </w:r>
      <w:r w:rsidR="00290678">
        <w:rPr>
          <w:noProof/>
        </w:rPr>
        <w:fldChar w:fldCharType="end"/>
      </w:r>
      <w:bookmarkEnd w:id="21"/>
      <w:r w:rsidR="003F6570">
        <w:t>:</w:t>
      </w:r>
      <w:r w:rsidR="003F6570">
        <w:tab/>
        <w:t>Institutionelle Hemmnisse aus der Sicht der befragten Akteure</w:t>
      </w:r>
      <w:bookmarkEnd w:id="22"/>
    </w:p>
    <w:tbl>
      <w:tblPr>
        <w:tblW w:w="0" w:type="auto"/>
        <w:tblInd w:w="70" w:type="dxa"/>
        <w:tblBorders>
          <w:top w:val="single" w:sz="12" w:space="0" w:color="auto"/>
          <w:left w:val="dotted" w:sz="2" w:space="0" w:color="auto"/>
          <w:bottom w:val="single" w:sz="12" w:space="0" w:color="auto"/>
          <w:right w:val="dotted" w:sz="2" w:space="0" w:color="auto"/>
          <w:insideH w:val="single" w:sz="8" w:space="0" w:color="auto"/>
          <w:insideV w:val="dotted" w:sz="2" w:space="0" w:color="auto"/>
        </w:tblBorders>
        <w:tblLayout w:type="fixed"/>
        <w:tblCellMar>
          <w:left w:w="70" w:type="dxa"/>
          <w:right w:w="70" w:type="dxa"/>
        </w:tblCellMar>
        <w:tblLook w:val="0000" w:firstRow="0" w:lastRow="0" w:firstColumn="0" w:lastColumn="0" w:noHBand="0" w:noVBand="0"/>
      </w:tblPr>
      <w:tblGrid>
        <w:gridCol w:w="2835"/>
        <w:gridCol w:w="6237"/>
      </w:tblGrid>
      <w:tr w:rsidR="003F6570">
        <w:tc>
          <w:tcPr>
            <w:tcW w:w="2835" w:type="dxa"/>
            <w:tcBorders>
              <w:top w:val="single" w:sz="12" w:space="0" w:color="auto"/>
              <w:left w:val="single" w:sz="4" w:space="0" w:color="auto"/>
              <w:bottom w:val="single" w:sz="12" w:space="0" w:color="auto"/>
              <w:right w:val="single" w:sz="4" w:space="0" w:color="auto"/>
            </w:tcBorders>
          </w:tcPr>
          <w:p w:rsidR="003F6570" w:rsidRDefault="003F6570">
            <w:pPr>
              <w:pStyle w:val="ATabellentextfett"/>
            </w:pPr>
            <w:r>
              <w:t xml:space="preserve">Regel-Ebene </w:t>
            </w:r>
          </w:p>
        </w:tc>
        <w:tc>
          <w:tcPr>
            <w:tcW w:w="6237" w:type="dxa"/>
            <w:tcBorders>
              <w:top w:val="single" w:sz="12" w:space="0" w:color="auto"/>
              <w:left w:val="single" w:sz="4" w:space="0" w:color="auto"/>
              <w:bottom w:val="single" w:sz="12" w:space="0" w:color="auto"/>
              <w:right w:val="single" w:sz="4" w:space="0" w:color="auto"/>
            </w:tcBorders>
          </w:tcPr>
          <w:p w:rsidR="003F6570" w:rsidRDefault="003F6570">
            <w:pPr>
              <w:pStyle w:val="ATabellentextfett"/>
            </w:pPr>
            <w:r>
              <w:t>Institutionelle Hemmnisse</w:t>
            </w:r>
          </w:p>
        </w:tc>
      </w:tr>
      <w:tr w:rsidR="003F6570">
        <w:tc>
          <w:tcPr>
            <w:tcW w:w="2835" w:type="dxa"/>
            <w:tcBorders>
              <w:top w:val="single" w:sz="12" w:space="0" w:color="auto"/>
              <w:left w:val="single" w:sz="4" w:space="0" w:color="auto"/>
              <w:right w:val="single" w:sz="4" w:space="0" w:color="auto"/>
            </w:tcBorders>
          </w:tcPr>
          <w:p w:rsidR="003F6570" w:rsidRDefault="003F6570">
            <w:pPr>
              <w:pStyle w:val="ATabellentextfett"/>
            </w:pPr>
            <w:r>
              <w:t xml:space="preserve">Metakonstitutionelle </w:t>
            </w:r>
            <w:r>
              <w:br/>
              <w:t>Regeln:</w:t>
            </w:r>
          </w:p>
          <w:p w:rsidR="003F6570" w:rsidRDefault="003F6570">
            <w:pPr>
              <w:pStyle w:val="ATabellentext"/>
            </w:pPr>
            <w:r>
              <w:t>Ideologie und Werte</w:t>
            </w:r>
          </w:p>
        </w:tc>
        <w:tc>
          <w:tcPr>
            <w:tcW w:w="6237" w:type="dxa"/>
            <w:tcBorders>
              <w:top w:val="single" w:sz="12" w:space="0" w:color="auto"/>
              <w:left w:val="single" w:sz="4" w:space="0" w:color="auto"/>
              <w:bottom w:val="single" w:sz="8" w:space="0" w:color="auto"/>
              <w:right w:val="single" w:sz="4" w:space="0" w:color="auto"/>
            </w:tcBorders>
          </w:tcPr>
          <w:p w:rsidR="003F6570" w:rsidRDefault="003F6570">
            <w:pPr>
              <w:pStyle w:val="ATabellenaufzhlung"/>
            </w:pPr>
            <w:r>
              <w:t xml:space="preserve">Kognitive Handlungsorientierungen der Beamten sind tendenziell durch </w:t>
            </w:r>
            <w:proofErr w:type="spellStart"/>
            <w:r>
              <w:t>Risikoaversität</w:t>
            </w:r>
            <w:proofErr w:type="spellEnd"/>
            <w:r>
              <w:t xml:space="preserve"> und geringes Vertrauen gegenüber der politisch jeweils anderen Ebene geprägt. </w:t>
            </w:r>
          </w:p>
          <w:p w:rsidR="003F6570" w:rsidRDefault="003F6570">
            <w:pPr>
              <w:pStyle w:val="ATabellenaufzhlung"/>
            </w:pPr>
            <w:proofErr w:type="spellStart"/>
            <w:r>
              <w:t>Sektoral</w:t>
            </w:r>
            <w:proofErr w:type="spellEnd"/>
            <w:r>
              <w:t xml:space="preserve"> ausgeprägtes Denken überwiegt.</w:t>
            </w:r>
          </w:p>
        </w:tc>
      </w:tr>
      <w:tr w:rsidR="003F6570">
        <w:tc>
          <w:tcPr>
            <w:tcW w:w="2835" w:type="dxa"/>
            <w:tcBorders>
              <w:left w:val="single" w:sz="4" w:space="0" w:color="auto"/>
              <w:right w:val="single" w:sz="4" w:space="0" w:color="auto"/>
            </w:tcBorders>
          </w:tcPr>
          <w:p w:rsidR="003F6570" w:rsidRDefault="003F6570">
            <w:pPr>
              <w:pStyle w:val="ATabellentextfett"/>
            </w:pPr>
            <w:r>
              <w:t xml:space="preserve">Konstitutionelle </w:t>
            </w:r>
            <w:r>
              <w:br/>
              <w:t xml:space="preserve">Entscheidungsregeln: </w:t>
            </w:r>
          </w:p>
          <w:p w:rsidR="003F6570" w:rsidRDefault="003F6570">
            <w:pPr>
              <w:pStyle w:val="ATabellentext"/>
            </w:pPr>
            <w:r>
              <w:t>Grundsatzregeln, die die Ausgestaltung der relevanten Verordnungen bestimmen</w:t>
            </w:r>
          </w:p>
        </w:tc>
        <w:tc>
          <w:tcPr>
            <w:tcW w:w="6237" w:type="dxa"/>
            <w:tcBorders>
              <w:top w:val="single" w:sz="8" w:space="0" w:color="auto"/>
              <w:left w:val="single" w:sz="4" w:space="0" w:color="auto"/>
              <w:bottom w:val="single" w:sz="8" w:space="0" w:color="auto"/>
              <w:right w:val="single" w:sz="4" w:space="0" w:color="auto"/>
            </w:tcBorders>
          </w:tcPr>
          <w:p w:rsidR="003F6570" w:rsidRDefault="003F6570">
            <w:pPr>
              <w:pStyle w:val="ATabellenaufzhlung"/>
            </w:pPr>
            <w:r>
              <w:t>Regeln für die Interaktion zwischen der ersten und zweiten Säule</w:t>
            </w:r>
          </w:p>
          <w:p w:rsidR="003F6570" w:rsidRDefault="003F6570">
            <w:pPr>
              <w:pStyle w:val="ATabellenaufzhlung"/>
            </w:pPr>
            <w:r>
              <w:t>Institutionelles Ungleichgewicht hinsichtlich der Interessenvertretung</w:t>
            </w:r>
          </w:p>
          <w:p w:rsidR="003F6570" w:rsidRDefault="003F6570">
            <w:pPr>
              <w:pStyle w:val="ATabellenaufzhlung"/>
            </w:pPr>
            <w:r>
              <w:t>Wettbewerbsregeln</w:t>
            </w:r>
          </w:p>
        </w:tc>
      </w:tr>
      <w:tr w:rsidR="003F6570">
        <w:tc>
          <w:tcPr>
            <w:tcW w:w="2835" w:type="dxa"/>
            <w:tcBorders>
              <w:left w:val="single" w:sz="4" w:space="0" w:color="auto"/>
              <w:right w:val="single" w:sz="4" w:space="0" w:color="auto"/>
            </w:tcBorders>
          </w:tcPr>
          <w:p w:rsidR="003F6570" w:rsidRDefault="003F6570">
            <w:pPr>
              <w:pStyle w:val="ATabellentextfett"/>
            </w:pPr>
            <w:r>
              <w:t xml:space="preserve">Kollektive </w:t>
            </w:r>
            <w:r>
              <w:br/>
              <w:t>Entscheidungsregeln:</w:t>
            </w:r>
          </w:p>
          <w:p w:rsidR="003F6570" w:rsidRDefault="003F6570">
            <w:pPr>
              <w:pStyle w:val="ATabellentext"/>
            </w:pPr>
            <w:r>
              <w:t xml:space="preserve">Regeln zur Gestaltung, Durchführung und Kontrolle der Agrarumweltmaßnahmen </w:t>
            </w:r>
          </w:p>
        </w:tc>
        <w:tc>
          <w:tcPr>
            <w:tcW w:w="6237" w:type="dxa"/>
            <w:tcBorders>
              <w:top w:val="single" w:sz="8" w:space="0" w:color="auto"/>
              <w:left w:val="single" w:sz="4" w:space="0" w:color="auto"/>
              <w:bottom w:val="single" w:sz="8" w:space="0" w:color="auto"/>
              <w:right w:val="single" w:sz="4" w:space="0" w:color="auto"/>
            </w:tcBorders>
          </w:tcPr>
          <w:p w:rsidR="003F6570" w:rsidRDefault="003F6570">
            <w:pPr>
              <w:pStyle w:val="ATabellenaufzhlung"/>
            </w:pPr>
            <w:r>
              <w:t>Regeln zur Ausstattung der personellen und finanziellen Ressourcen</w:t>
            </w:r>
          </w:p>
          <w:p w:rsidR="003F6570" w:rsidRDefault="003F6570">
            <w:pPr>
              <w:pStyle w:val="ATabellenaufzhlung"/>
            </w:pPr>
            <w:r>
              <w:t>Verordnungen (EG) Nr. 1257/1999 und (EG) Nr. 1750/1999</w:t>
            </w:r>
          </w:p>
          <w:p w:rsidR="003F6570" w:rsidRDefault="003F6570">
            <w:pPr>
              <w:pStyle w:val="ATabellenaufzhlung"/>
            </w:pPr>
            <w:r>
              <w:t>Anforderungen an eine Verordnung zur Durchführung partizipativer Ansätze</w:t>
            </w:r>
          </w:p>
        </w:tc>
      </w:tr>
      <w:tr w:rsidR="003F6570">
        <w:tc>
          <w:tcPr>
            <w:tcW w:w="2835" w:type="dxa"/>
            <w:tcBorders>
              <w:left w:val="single" w:sz="4" w:space="0" w:color="auto"/>
              <w:bottom w:val="single" w:sz="12" w:space="0" w:color="auto"/>
              <w:right w:val="single" w:sz="4" w:space="0" w:color="auto"/>
            </w:tcBorders>
          </w:tcPr>
          <w:p w:rsidR="003F6570" w:rsidRDefault="003F6570">
            <w:pPr>
              <w:pStyle w:val="ATabellentextfett"/>
            </w:pPr>
            <w:r>
              <w:t xml:space="preserve">Operative </w:t>
            </w:r>
            <w:r>
              <w:br/>
              <w:t>Entscheidungsregeln:</w:t>
            </w:r>
          </w:p>
          <w:p w:rsidR="003F6570" w:rsidRDefault="003F6570">
            <w:pPr>
              <w:pStyle w:val="ATabellentext"/>
            </w:pPr>
            <w:r>
              <w:t>Arbeits- und Durchführungsregeln</w:t>
            </w:r>
          </w:p>
        </w:tc>
        <w:tc>
          <w:tcPr>
            <w:tcW w:w="6237" w:type="dxa"/>
            <w:tcBorders>
              <w:top w:val="single" w:sz="8" w:space="0" w:color="auto"/>
              <w:left w:val="single" w:sz="4" w:space="0" w:color="auto"/>
              <w:bottom w:val="single" w:sz="12" w:space="0" w:color="auto"/>
              <w:right w:val="single" w:sz="4" w:space="0" w:color="auto"/>
            </w:tcBorders>
          </w:tcPr>
          <w:p w:rsidR="003F6570" w:rsidRDefault="003F6570">
            <w:pPr>
              <w:pStyle w:val="ATabellenaufzhlung"/>
            </w:pPr>
            <w:r>
              <w:t>Spezifische Regeln zur Planung, Genehmigung und Kontrolle von AUM</w:t>
            </w:r>
          </w:p>
          <w:p w:rsidR="003F6570" w:rsidRDefault="003F6570">
            <w:pPr>
              <w:pStyle w:val="ATabellenaufzhlung"/>
            </w:pPr>
            <w:r>
              <w:t>Regeln zur Festlegung der „Gebietskulisse“</w:t>
            </w:r>
          </w:p>
        </w:tc>
      </w:tr>
    </w:tbl>
    <w:p w:rsidR="003F6570" w:rsidRDefault="000A19EF" w:rsidP="00BB1C27">
      <w:pPr>
        <w:pStyle w:val="AQuelle"/>
      </w:pPr>
      <w:bookmarkStart w:id="23" w:name="_Toc91212866"/>
      <w:r w:rsidRPr="0039034B">
        <w:rPr>
          <w:highlight w:val="yellow"/>
        </w:rPr>
        <w:t xml:space="preserve">[Format </w:t>
      </w:r>
      <w:proofErr w:type="spellStart"/>
      <w:r w:rsidRPr="0039034B">
        <w:rPr>
          <w:highlight w:val="yellow"/>
        </w:rPr>
        <w:t>A_</w:t>
      </w:r>
      <w:proofErr w:type="gramStart"/>
      <w:r>
        <w:rPr>
          <w:highlight w:val="yellow"/>
        </w:rPr>
        <w:t>Quelle</w:t>
      </w:r>
      <w:proofErr w:type="spellEnd"/>
      <w:r w:rsidRPr="0039034B">
        <w:rPr>
          <w:highlight w:val="yellow"/>
        </w:rPr>
        <w:t>]</w:t>
      </w:r>
      <w:r w:rsidR="003F6570">
        <w:t>Quelle</w:t>
      </w:r>
      <w:proofErr w:type="gramEnd"/>
      <w:r w:rsidR="003F6570">
        <w:t>:</w:t>
      </w:r>
      <w:r w:rsidR="003F6570">
        <w:tab/>
        <w:t>Verändert nach</w:t>
      </w:r>
      <w:r w:rsidR="003F6570">
        <w:rPr>
          <w:smallCaps/>
        </w:rPr>
        <w:t xml:space="preserve"> Eggers, </w:t>
      </w:r>
      <w:r w:rsidR="003F6570">
        <w:t>2005: 226</w:t>
      </w:r>
    </w:p>
    <w:p w:rsidR="000A19EF" w:rsidRDefault="000A19EF" w:rsidP="00D33CB2">
      <w:pPr>
        <w:pStyle w:val="ATabelle"/>
        <w:tabs>
          <w:tab w:val="left" w:pos="1701"/>
        </w:tabs>
        <w:ind w:left="1701" w:hanging="1701"/>
      </w:pPr>
      <w:r w:rsidRPr="0039034B">
        <w:rPr>
          <w:highlight w:val="yellow"/>
        </w:rPr>
        <w:t xml:space="preserve">[Format </w:t>
      </w:r>
      <w:proofErr w:type="spellStart"/>
      <w:r w:rsidRPr="0039034B">
        <w:rPr>
          <w:highlight w:val="yellow"/>
        </w:rPr>
        <w:t>A_</w:t>
      </w:r>
      <w:r w:rsidRPr="00D33CB2">
        <w:rPr>
          <w:rStyle w:val="AAbbildungZchn"/>
          <w:highlight w:val="yellow"/>
        </w:rPr>
        <w:t>Abbildung</w:t>
      </w:r>
      <w:proofErr w:type="spellEnd"/>
      <w:r w:rsidRPr="0039034B">
        <w:rPr>
          <w:highlight w:val="yellow"/>
        </w:rPr>
        <w:t>]</w:t>
      </w:r>
      <w:r>
        <w:t xml:space="preserve">Abbildung </w:t>
      </w:r>
      <w:r w:rsidR="00290678">
        <w:fldChar w:fldCharType="begin"/>
      </w:r>
      <w:r w:rsidR="00290678">
        <w:instrText xml:space="preserve"> SEQ Abbildung \* ARABIC </w:instrText>
      </w:r>
      <w:r w:rsidR="00290678">
        <w:fldChar w:fldCharType="separate"/>
      </w:r>
      <w:r w:rsidR="007C2DD8">
        <w:rPr>
          <w:noProof/>
        </w:rPr>
        <w:t>1</w:t>
      </w:r>
      <w:r w:rsidR="00290678">
        <w:rPr>
          <w:noProof/>
        </w:rPr>
        <w:fldChar w:fldCharType="end"/>
      </w:r>
      <w:r>
        <w:t>:</w:t>
      </w:r>
      <w:r>
        <w:tab/>
        <w:t>Mögliche Einflussfaktoren auf Stallbaukonflikte</w:t>
      </w:r>
    </w:p>
    <w:p w:rsidR="000A19EF" w:rsidRDefault="00E2493D" w:rsidP="00D33CB2">
      <w:pPr>
        <w:pStyle w:val="AQuelle"/>
        <w:tabs>
          <w:tab w:val="clear" w:pos="709"/>
          <w:tab w:val="left" w:pos="851"/>
        </w:tabs>
      </w:pPr>
      <w:r w:rsidRPr="0039034B">
        <w:rPr>
          <w:highlight w:val="yellow"/>
        </w:rPr>
        <w:t xml:space="preserve">[Format </w:t>
      </w:r>
      <w:proofErr w:type="spellStart"/>
      <w:r w:rsidRPr="0039034B">
        <w:rPr>
          <w:highlight w:val="yellow"/>
        </w:rPr>
        <w:t>A_</w:t>
      </w:r>
      <w:proofErr w:type="gramStart"/>
      <w:r>
        <w:rPr>
          <w:highlight w:val="yellow"/>
        </w:rPr>
        <w:t>Quelle</w:t>
      </w:r>
      <w:proofErr w:type="spellEnd"/>
      <w:r w:rsidRPr="0039034B">
        <w:rPr>
          <w:highlight w:val="yellow"/>
        </w:rPr>
        <w:t>]</w:t>
      </w:r>
      <w:r>
        <w:t>Quelle</w:t>
      </w:r>
      <w:proofErr w:type="gramEnd"/>
      <w:r>
        <w:t>:</w:t>
      </w:r>
      <w:r>
        <w:tab/>
      </w:r>
    </w:p>
    <w:p w:rsidR="003F6570" w:rsidRDefault="00DD5B80" w:rsidP="00BE4567">
      <w:pPr>
        <w:pStyle w:val="Aberschrift1"/>
        <w:outlineLvl w:val="0"/>
      </w:pPr>
      <w:bookmarkStart w:id="24" w:name="_Toc108526350"/>
      <w:bookmarkEnd w:id="23"/>
      <w:r w:rsidRPr="0039034B">
        <w:rPr>
          <w:highlight w:val="yellow"/>
        </w:rPr>
        <w:lastRenderedPageBreak/>
        <w:t xml:space="preserve">[Format </w:t>
      </w:r>
      <w:proofErr w:type="spellStart"/>
      <w:r w:rsidRPr="0039034B">
        <w:rPr>
          <w:highlight w:val="yellow"/>
        </w:rPr>
        <w:t>A_</w:t>
      </w:r>
      <w:r>
        <w:rPr>
          <w:highlight w:val="yellow"/>
        </w:rPr>
        <w:t>Überschrift</w:t>
      </w:r>
      <w:proofErr w:type="spellEnd"/>
      <w:r>
        <w:rPr>
          <w:highlight w:val="yellow"/>
        </w:rPr>
        <w:t xml:space="preserve"> </w:t>
      </w:r>
      <w:proofErr w:type="gramStart"/>
      <w:r>
        <w:rPr>
          <w:highlight w:val="yellow"/>
        </w:rPr>
        <w:t>1</w:t>
      </w:r>
      <w:r w:rsidRPr="0039034B">
        <w:rPr>
          <w:highlight w:val="yellow"/>
        </w:rPr>
        <w:t>]</w:t>
      </w:r>
      <w:r w:rsidR="003F6570">
        <w:t>Literatur</w:t>
      </w:r>
      <w:bookmarkEnd w:id="3"/>
      <w:bookmarkEnd w:id="24"/>
      <w:proofErr w:type="gramEnd"/>
    </w:p>
    <w:p w:rsidR="003F6570" w:rsidRDefault="000A19EF" w:rsidP="00DD5B80">
      <w:pPr>
        <w:pStyle w:val="ALiteraturangaben"/>
      </w:pPr>
      <w:r w:rsidRPr="0039034B">
        <w:rPr>
          <w:highlight w:val="yellow"/>
        </w:rPr>
        <w:t xml:space="preserve">[Format </w:t>
      </w:r>
      <w:proofErr w:type="spellStart"/>
      <w:r w:rsidRPr="0039034B">
        <w:rPr>
          <w:highlight w:val="yellow"/>
        </w:rPr>
        <w:t>A_</w:t>
      </w:r>
      <w:proofErr w:type="gramStart"/>
      <w:r>
        <w:rPr>
          <w:highlight w:val="yellow"/>
        </w:rPr>
        <w:t>Literaturangaben</w:t>
      </w:r>
      <w:proofErr w:type="spellEnd"/>
      <w:r w:rsidRPr="0039034B">
        <w:rPr>
          <w:highlight w:val="yellow"/>
        </w:rPr>
        <w:t>]</w:t>
      </w:r>
      <w:r w:rsidR="003F6570">
        <w:rPr>
          <w:smallCaps/>
          <w:szCs w:val="24"/>
        </w:rPr>
        <w:t>Agra</w:t>
      </w:r>
      <w:proofErr w:type="gramEnd"/>
      <w:r w:rsidR="003F6570">
        <w:rPr>
          <w:smallCaps/>
          <w:szCs w:val="24"/>
        </w:rPr>
        <w:t>-Europe</w:t>
      </w:r>
      <w:r w:rsidR="003F6570">
        <w:t xml:space="preserve"> (2005): Zweite Säule oder zweites Säulchen? Nr. 52/05. In: Europa Nachrichten: 9.</w:t>
      </w:r>
    </w:p>
    <w:p w:rsidR="003F6570" w:rsidRDefault="003F6570">
      <w:pPr>
        <w:pStyle w:val="ALiteraturangaben"/>
      </w:pPr>
      <w:r>
        <w:rPr>
          <w:smallCaps/>
        </w:rPr>
        <w:t>Amtsblatt der Europäischen Gemeinschaften</w:t>
      </w:r>
      <w:r>
        <w:t xml:space="preserve"> (2005): Verordnung des Rates (EG) Nr. 1698/2005 vom 20. September 2005 über die Förderung der Entwicklung des ländlichen Raums durch den Europäischen Landwirtschaftsfonds für die Entwicklung des ländlichen Raums (ELER). Luxemburg.</w:t>
      </w:r>
    </w:p>
    <w:p w:rsidR="003F6570" w:rsidRDefault="003F6570">
      <w:pPr>
        <w:pStyle w:val="ALiteraturangaben"/>
        <w:rPr>
          <w:lang w:val="en-GB"/>
        </w:rPr>
      </w:pPr>
      <w:r>
        <w:rPr>
          <w:smallCaps/>
        </w:rPr>
        <w:t>Amtsblatt der Europäischen Gemeinschaften</w:t>
      </w:r>
      <w:r>
        <w:t xml:space="preserve"> (1999): Verordnung des Rates (EG) 1257/1999 über die Förderung der Entwicklung des ländlichen Raums durch den Europäischen Ausrichtungs- und Garantiefonds für Landwirtschaft (EAGFL) und zur Änderung bzw. Aufhebung bestimmter Verordnungen. </w:t>
      </w:r>
      <w:r>
        <w:rPr>
          <w:lang w:val="en-GB"/>
        </w:rPr>
        <w:t>Luxemburg.</w:t>
      </w:r>
    </w:p>
    <w:p w:rsidR="003F6570" w:rsidRDefault="003F6570">
      <w:pPr>
        <w:pStyle w:val="ALiteraturangaben"/>
      </w:pPr>
      <w:r>
        <w:rPr>
          <w:smallCaps/>
          <w:lang w:val="en-GB"/>
        </w:rPr>
        <w:t>Arthur</w:t>
      </w:r>
      <w:r>
        <w:rPr>
          <w:lang w:val="en-GB"/>
        </w:rPr>
        <w:t xml:space="preserve">, W.B. (1988): Self-Reinforcing Mechanisms in Economics. In: </w:t>
      </w:r>
      <w:smartTag w:uri="urn:schemas-microsoft-com:office:smarttags" w:element="City">
        <w:smartTag w:uri="urn:schemas-microsoft-com:office:smarttags" w:element="place">
          <w:r>
            <w:rPr>
              <w:lang w:val="en-GB"/>
            </w:rPr>
            <w:t>Anderson</w:t>
          </w:r>
        </w:smartTag>
      </w:smartTag>
      <w:r>
        <w:rPr>
          <w:lang w:val="en-GB"/>
        </w:rPr>
        <w:t xml:space="preserve">, P.W., K.J. Arrow and D. Pines (eds.): The Economy as an Evolving Complex System. </w:t>
      </w:r>
      <w:r>
        <w:t xml:space="preserve">Reading, MA. </w:t>
      </w:r>
    </w:p>
    <w:p w:rsidR="003F6570" w:rsidRDefault="003F6570">
      <w:pPr>
        <w:pStyle w:val="ALiteraturangaben"/>
      </w:pPr>
      <w:r>
        <w:rPr>
          <w:smallCaps/>
        </w:rPr>
        <w:t>Eggers</w:t>
      </w:r>
      <w:r>
        <w:t>, J. (2005): Dezentralisierung der Agrarumweltmaßnahmen in der europäischen Agrarpolitik: Hemmnisse eines institutionellen Wandels. In: Beckmann</w:t>
      </w:r>
      <w:r>
        <w:rPr>
          <w:smallCaps/>
        </w:rPr>
        <w:t xml:space="preserve">, V. </w:t>
      </w:r>
      <w:r>
        <w:t>und</w:t>
      </w:r>
      <w:r>
        <w:rPr>
          <w:smallCaps/>
        </w:rPr>
        <w:t xml:space="preserve"> K. </w:t>
      </w:r>
      <w:r>
        <w:t>Hagedorn (Hrsg.): Institutioneller Wandel in der Landwirtschaft und Ressourcennutzung 25. Shaker Verlag, Berlin.</w:t>
      </w:r>
    </w:p>
    <w:p w:rsidR="003F6570" w:rsidRDefault="003F6570">
      <w:pPr>
        <w:pStyle w:val="ALiteraturangaben"/>
      </w:pPr>
      <w:r>
        <w:rPr>
          <w:smallCaps/>
        </w:rPr>
        <w:t>Ewers</w:t>
      </w:r>
      <w:r>
        <w:t>, H.-J. und W. </w:t>
      </w:r>
      <w:proofErr w:type="spellStart"/>
      <w:r>
        <w:rPr>
          <w:smallCaps/>
        </w:rPr>
        <w:t>Henrichsmeyer</w:t>
      </w:r>
      <w:proofErr w:type="spellEnd"/>
      <w:r>
        <w:t xml:space="preserve"> (2000): Agrarumweltpolitik nach dem Subsidiaritätsprinzip: Denkschrift des Schwäbisch Haller Agrarkolloquiums der Robert Bosch Stiftung. In: Ewers, H.-J. und W. </w:t>
      </w:r>
      <w:proofErr w:type="spellStart"/>
      <w:r>
        <w:t>Henrichsmeyer</w:t>
      </w:r>
      <w:proofErr w:type="spellEnd"/>
      <w:r>
        <w:t xml:space="preserve"> (Hrsg.): Schriften zur Agrarforschung und Agrarpolitik. </w:t>
      </w:r>
      <w:proofErr w:type="spellStart"/>
      <w:r>
        <w:t>Analytica</w:t>
      </w:r>
      <w:proofErr w:type="spellEnd"/>
      <w:r>
        <w:t>, Berlin.</w:t>
      </w:r>
    </w:p>
    <w:p w:rsidR="003F6570" w:rsidRDefault="003F6570">
      <w:pPr>
        <w:pStyle w:val="ALiteraturangaben"/>
      </w:pPr>
      <w:proofErr w:type="spellStart"/>
      <w:r>
        <w:rPr>
          <w:smallCaps/>
          <w:lang w:val="en-GB"/>
        </w:rPr>
        <w:t>Fischler</w:t>
      </w:r>
      <w:proofErr w:type="spellEnd"/>
      <w:r>
        <w:rPr>
          <w:lang w:val="en-GB"/>
        </w:rPr>
        <w:t xml:space="preserve">, F. (2000): Working together towards Sustainable Rural Development in the 21st Century from an EU Point of View. </w:t>
      </w:r>
      <w:r>
        <w:t>Rural 21. Internationale Konferenz zur Zukunft und Entwicklung ländlicher Räume. Potsdam.</w:t>
      </w:r>
    </w:p>
    <w:p w:rsidR="003F6570" w:rsidRDefault="003F6570">
      <w:pPr>
        <w:pStyle w:val="ALiteraturangaben"/>
      </w:pPr>
      <w:r>
        <w:rPr>
          <w:smallCaps/>
        </w:rPr>
        <w:t>Groth</w:t>
      </w:r>
      <w:r>
        <w:t>, M. (2005): Ausschreibungen in einem Konzept zur ergebnisorientierten Honorierung ökologischer Leistungen – Eine transaktionskostenökonomische Analyse. Vortrag anlässlich der 45. Jahrestagung der Gesellschaft für Wirtschafts- und Sozialwissenschaften des Landbaus an der Georg-August-Universität Göttingen. Vorläufige Fassung, September 2005.</w:t>
      </w:r>
    </w:p>
    <w:p w:rsidR="003F6570" w:rsidRDefault="003F6570">
      <w:pPr>
        <w:pStyle w:val="ALiteraturangaben"/>
      </w:pPr>
      <w:r>
        <w:rPr>
          <w:smallCaps/>
        </w:rPr>
        <w:t>Hagedorn</w:t>
      </w:r>
      <w:r>
        <w:t xml:space="preserve">, K. (2000): Umweltgenossenschaften aus institutionenökonomischer Sicht. – In: J.W. </w:t>
      </w:r>
      <w:r>
        <w:rPr>
          <w:smallCaps/>
        </w:rPr>
        <w:t xml:space="preserve">Kramer </w:t>
      </w:r>
      <w:r>
        <w:t>und R. </w:t>
      </w:r>
      <w:proofErr w:type="spellStart"/>
      <w:r>
        <w:rPr>
          <w:smallCaps/>
        </w:rPr>
        <w:t>Steding</w:t>
      </w:r>
      <w:proofErr w:type="spellEnd"/>
      <w:r>
        <w:t xml:space="preserve"> (Hrsg.): Genossenschaften und Kooperation in einer sich wandelnden Welt. Festschrift zum 65. Geburtstag von Prof. Dr. H.-H. </w:t>
      </w:r>
      <w:proofErr w:type="spellStart"/>
      <w:r>
        <w:t>Münkner</w:t>
      </w:r>
      <w:proofErr w:type="spellEnd"/>
      <w:r>
        <w:t>. Münster: 267-291.</w:t>
      </w:r>
    </w:p>
    <w:p w:rsidR="003F6570" w:rsidRDefault="003F6570">
      <w:pPr>
        <w:pStyle w:val="ALiteraturangaben"/>
        <w:rPr>
          <w:lang w:val="it-IT"/>
        </w:rPr>
      </w:pPr>
      <w:proofErr w:type="spellStart"/>
      <w:r>
        <w:rPr>
          <w:smallCaps/>
        </w:rPr>
        <w:t>Kahnemann</w:t>
      </w:r>
      <w:proofErr w:type="spellEnd"/>
      <w:r>
        <w:t>, D. und A. </w:t>
      </w:r>
      <w:proofErr w:type="spellStart"/>
      <w:r>
        <w:rPr>
          <w:smallCaps/>
        </w:rPr>
        <w:t>Tversky</w:t>
      </w:r>
      <w:proofErr w:type="spellEnd"/>
      <w:r>
        <w:t xml:space="preserve"> (1984): </w:t>
      </w:r>
      <w:proofErr w:type="spellStart"/>
      <w:r>
        <w:t>Choices</w:t>
      </w:r>
      <w:proofErr w:type="spellEnd"/>
      <w:r>
        <w:t xml:space="preserve">, Values </w:t>
      </w:r>
      <w:proofErr w:type="spellStart"/>
      <w:r>
        <w:t>and</w:t>
      </w:r>
      <w:proofErr w:type="spellEnd"/>
      <w:r>
        <w:t xml:space="preserve"> Frames. </w:t>
      </w:r>
      <w:r>
        <w:rPr>
          <w:lang w:val="it-IT"/>
        </w:rPr>
        <w:t xml:space="preserve">In: American </w:t>
      </w:r>
      <w:proofErr w:type="spellStart"/>
      <w:r>
        <w:rPr>
          <w:lang w:val="it-IT"/>
        </w:rPr>
        <w:t>Psychologist</w:t>
      </w:r>
      <w:proofErr w:type="spellEnd"/>
      <w:r>
        <w:rPr>
          <w:lang w:val="it-IT"/>
        </w:rPr>
        <w:t> 39: 341-350.</w:t>
      </w:r>
    </w:p>
    <w:p w:rsidR="003F6570" w:rsidRDefault="003F6570">
      <w:pPr>
        <w:pStyle w:val="ALiteraturangaben"/>
        <w:rPr>
          <w:lang w:val="en-GB"/>
        </w:rPr>
      </w:pPr>
      <w:r>
        <w:rPr>
          <w:smallCaps/>
        </w:rPr>
        <w:t>Knight</w:t>
      </w:r>
      <w:r>
        <w:t xml:space="preserve">, J. (1997): Institutionen und gesellschaftlicher Konflikt. </w:t>
      </w:r>
      <w:r>
        <w:rPr>
          <w:lang w:val="en-GB"/>
        </w:rPr>
        <w:t>Mohr (</w:t>
      </w:r>
      <w:proofErr w:type="spellStart"/>
      <w:r>
        <w:rPr>
          <w:lang w:val="en-GB"/>
        </w:rPr>
        <w:t>Siebeck</w:t>
      </w:r>
      <w:proofErr w:type="spellEnd"/>
      <w:r>
        <w:rPr>
          <w:lang w:val="en-GB"/>
        </w:rPr>
        <w:t xml:space="preserve">), </w:t>
      </w:r>
      <w:proofErr w:type="spellStart"/>
      <w:r>
        <w:rPr>
          <w:lang w:val="en-GB"/>
        </w:rPr>
        <w:t>Tübingen</w:t>
      </w:r>
      <w:proofErr w:type="spellEnd"/>
      <w:r>
        <w:rPr>
          <w:lang w:val="en-GB"/>
        </w:rPr>
        <w:t xml:space="preserve">. </w:t>
      </w:r>
    </w:p>
    <w:p w:rsidR="003F6570" w:rsidRDefault="003F6570">
      <w:pPr>
        <w:pStyle w:val="ALiteraturangaben"/>
        <w:rPr>
          <w:lang w:val="en-GB"/>
        </w:rPr>
      </w:pPr>
      <w:r>
        <w:rPr>
          <w:smallCaps/>
          <w:lang w:val="en-GB"/>
        </w:rPr>
        <w:t>Lowe</w:t>
      </w:r>
      <w:r>
        <w:rPr>
          <w:lang w:val="en-GB"/>
        </w:rPr>
        <w:t>, P. und D. </w:t>
      </w:r>
      <w:proofErr w:type="spellStart"/>
      <w:r>
        <w:rPr>
          <w:smallCaps/>
          <w:lang w:val="en-GB"/>
        </w:rPr>
        <w:t>Baldock</w:t>
      </w:r>
      <w:proofErr w:type="spellEnd"/>
      <w:r>
        <w:rPr>
          <w:lang w:val="en-GB"/>
        </w:rPr>
        <w:t xml:space="preserve"> (2000): Integration of Environmental Objectives into Agricultural Policy Making. In: </w:t>
      </w:r>
      <w:proofErr w:type="spellStart"/>
      <w:r>
        <w:rPr>
          <w:smallCaps/>
          <w:lang w:val="en-GB"/>
        </w:rPr>
        <w:t>Brouwer</w:t>
      </w:r>
      <w:proofErr w:type="spellEnd"/>
      <w:r>
        <w:rPr>
          <w:lang w:val="en-GB"/>
        </w:rPr>
        <w:t>, F. und P. </w:t>
      </w:r>
      <w:r>
        <w:rPr>
          <w:smallCaps/>
          <w:lang w:val="en-GB"/>
        </w:rPr>
        <w:t>Lowe</w:t>
      </w:r>
      <w:r>
        <w:rPr>
          <w:lang w:val="en-GB"/>
        </w:rPr>
        <w:t xml:space="preserve"> (eds.): CAP Regimes and the European Countryside. Prospects for Integration between Agricultural, Regional and Environmental Policies. Wallingford: 31-51.</w:t>
      </w:r>
    </w:p>
    <w:p w:rsidR="003F6570" w:rsidRDefault="003F6570">
      <w:pPr>
        <w:pStyle w:val="ALiteraturangaben"/>
        <w:rPr>
          <w:lang w:val="en-GB"/>
        </w:rPr>
      </w:pPr>
      <w:proofErr w:type="spellStart"/>
      <w:r>
        <w:rPr>
          <w:smallCaps/>
        </w:rPr>
        <w:t>Mayntz</w:t>
      </w:r>
      <w:proofErr w:type="spellEnd"/>
      <w:r>
        <w:t>, R. und F.W. </w:t>
      </w:r>
      <w:r>
        <w:rPr>
          <w:smallCaps/>
        </w:rPr>
        <w:t>Scharpf</w:t>
      </w:r>
      <w:r>
        <w:t xml:space="preserve"> (1995): Der Ansatz des </w:t>
      </w:r>
      <w:proofErr w:type="spellStart"/>
      <w:r>
        <w:t>akteurszentrierten</w:t>
      </w:r>
      <w:proofErr w:type="spellEnd"/>
      <w:r>
        <w:t xml:space="preserve"> Institutionalismus. In: </w:t>
      </w:r>
      <w:proofErr w:type="spellStart"/>
      <w:r>
        <w:rPr>
          <w:smallCaps/>
        </w:rPr>
        <w:t>Mayntz</w:t>
      </w:r>
      <w:proofErr w:type="spellEnd"/>
      <w:r>
        <w:rPr>
          <w:smallCaps/>
        </w:rPr>
        <w:t xml:space="preserve">, R. </w:t>
      </w:r>
      <w:r>
        <w:t>und</w:t>
      </w:r>
      <w:r>
        <w:rPr>
          <w:smallCaps/>
        </w:rPr>
        <w:t xml:space="preserve"> F.W. Scharpf</w:t>
      </w:r>
      <w:r>
        <w:t xml:space="preserve"> (Hrsg.): Gesellschaftliche Selbstregelung und politische Steuerung. </w:t>
      </w:r>
      <w:r>
        <w:rPr>
          <w:lang w:val="en-GB"/>
        </w:rPr>
        <w:t xml:space="preserve">Campus, </w:t>
      </w:r>
      <w:smartTag w:uri="urn:schemas-microsoft-com:office:smarttags" w:element="place">
        <w:r>
          <w:rPr>
            <w:lang w:val="en-GB"/>
          </w:rPr>
          <w:t>Frankfurt</w:t>
        </w:r>
      </w:smartTag>
      <w:r>
        <w:rPr>
          <w:lang w:val="en-GB"/>
        </w:rPr>
        <w:t>: 39-72.</w:t>
      </w:r>
    </w:p>
    <w:p w:rsidR="003F6570" w:rsidRDefault="003F6570">
      <w:pPr>
        <w:pStyle w:val="ALiteraturangaben"/>
        <w:rPr>
          <w:lang w:val="en-GB"/>
        </w:rPr>
      </w:pPr>
      <w:r>
        <w:rPr>
          <w:smallCaps/>
          <w:lang w:val="en-GB"/>
        </w:rPr>
        <w:t>Miles</w:t>
      </w:r>
      <w:r>
        <w:rPr>
          <w:lang w:val="en-GB"/>
        </w:rPr>
        <w:t>, M.B. und M.A. </w:t>
      </w:r>
      <w:r>
        <w:rPr>
          <w:smallCaps/>
          <w:lang w:val="en-GB"/>
        </w:rPr>
        <w:t>Huberman</w:t>
      </w:r>
      <w:r>
        <w:rPr>
          <w:lang w:val="en-GB"/>
        </w:rPr>
        <w:t xml:space="preserve"> (1994): Qualitative Data Analysis: An Expanded Sourcebook. </w:t>
      </w:r>
      <w:smartTag w:uri="urn:schemas-microsoft-com:office:smarttags" w:element="City">
        <w:smartTag w:uri="urn:schemas-microsoft-com:office:smarttags" w:element="place">
          <w:r>
            <w:rPr>
              <w:lang w:val="en-GB"/>
            </w:rPr>
            <w:t>London</w:t>
          </w:r>
        </w:smartTag>
      </w:smartTag>
      <w:r>
        <w:rPr>
          <w:lang w:val="en-GB"/>
        </w:rPr>
        <w:t xml:space="preserve">, New </w:t>
      </w:r>
      <w:proofErr w:type="spellStart"/>
      <w:r>
        <w:rPr>
          <w:lang w:val="en-GB"/>
        </w:rPr>
        <w:t>Dehli</w:t>
      </w:r>
      <w:proofErr w:type="spellEnd"/>
      <w:r>
        <w:rPr>
          <w:lang w:val="en-GB"/>
        </w:rPr>
        <w:t>, Thousand Oakes.</w:t>
      </w:r>
    </w:p>
    <w:p w:rsidR="003F6570" w:rsidRDefault="003F6570">
      <w:pPr>
        <w:pStyle w:val="ALiteraturangaben"/>
      </w:pPr>
      <w:r>
        <w:rPr>
          <w:smallCaps/>
          <w:lang w:val="en-GB"/>
        </w:rPr>
        <w:t>North</w:t>
      </w:r>
      <w:r>
        <w:rPr>
          <w:lang w:val="en-GB"/>
        </w:rPr>
        <w:t xml:space="preserve">, D.C. (1997): The Contribution of the New Institutional Economics to an Understanding of the Transition Problem. </w:t>
      </w:r>
      <w:r>
        <w:t>St. Louis, Washington University.</w:t>
      </w:r>
    </w:p>
    <w:p w:rsidR="003F6570" w:rsidRDefault="003F6570">
      <w:pPr>
        <w:pStyle w:val="ALiteraturangaben"/>
      </w:pPr>
      <w:r>
        <w:rPr>
          <w:smallCaps/>
        </w:rPr>
        <w:t>North</w:t>
      </w:r>
      <w:r>
        <w:t>, D.C. (1992): Der Verlauf institutionellen Wandels. Institutionen, institutioneller Wandel und Wirtschaftsleistung. Mohr, Tübingen.</w:t>
      </w:r>
    </w:p>
    <w:p w:rsidR="003F6570" w:rsidRDefault="003F6570">
      <w:pPr>
        <w:pStyle w:val="ALiteraturangaben"/>
      </w:pPr>
      <w:r>
        <w:rPr>
          <w:smallCaps/>
        </w:rPr>
        <w:t>Osterburg</w:t>
      </w:r>
      <w:r>
        <w:t>, B. und U. </w:t>
      </w:r>
      <w:r>
        <w:rPr>
          <w:smallCaps/>
        </w:rPr>
        <w:t xml:space="preserve">Stratmann </w:t>
      </w:r>
      <w:r>
        <w:t>(2002): Die regionale Agrarumweltpolitik in Deutschland unter dem Einfluss der Förderangebote der Europäischen Union. In: Agrarwirtschaft 51 (5): 259-279.</w:t>
      </w:r>
    </w:p>
    <w:p w:rsidR="003F6570" w:rsidRDefault="003F6570">
      <w:pPr>
        <w:pStyle w:val="ALiteraturangaben"/>
        <w:rPr>
          <w:lang w:val="en-GB"/>
        </w:rPr>
      </w:pPr>
      <w:r>
        <w:rPr>
          <w:smallCaps/>
        </w:rPr>
        <w:t>Ostrom</w:t>
      </w:r>
      <w:r>
        <w:t xml:space="preserve">, E. (1998): The </w:t>
      </w:r>
      <w:proofErr w:type="spellStart"/>
      <w:r>
        <w:t>Institutional</w:t>
      </w:r>
      <w:proofErr w:type="spellEnd"/>
      <w:r>
        <w:t xml:space="preserve"> Analysis </w:t>
      </w:r>
      <w:proofErr w:type="spellStart"/>
      <w:r>
        <w:t>and</w:t>
      </w:r>
      <w:proofErr w:type="spellEnd"/>
      <w:r>
        <w:t xml:space="preserve"> Development Approach. </w:t>
      </w:r>
      <w:r>
        <w:rPr>
          <w:lang w:val="en-GB"/>
        </w:rPr>
        <w:t xml:space="preserve">In: </w:t>
      </w:r>
      <w:proofErr w:type="spellStart"/>
      <w:r>
        <w:rPr>
          <w:lang w:val="en-GB"/>
        </w:rPr>
        <w:t>Loehman</w:t>
      </w:r>
      <w:proofErr w:type="spellEnd"/>
      <w:r>
        <w:rPr>
          <w:smallCaps/>
          <w:lang w:val="en-GB"/>
        </w:rPr>
        <w:t xml:space="preserve">, E.T. </w:t>
      </w:r>
      <w:r>
        <w:rPr>
          <w:lang w:val="en-GB"/>
        </w:rPr>
        <w:t xml:space="preserve">und </w:t>
      </w:r>
      <w:r>
        <w:rPr>
          <w:smallCaps/>
          <w:lang w:val="en-GB"/>
        </w:rPr>
        <w:t>D.M. </w:t>
      </w:r>
      <w:proofErr w:type="spellStart"/>
      <w:r>
        <w:rPr>
          <w:lang w:val="en-GB"/>
        </w:rPr>
        <w:t>Kilgour</w:t>
      </w:r>
      <w:proofErr w:type="spellEnd"/>
      <w:r>
        <w:rPr>
          <w:lang w:val="en-GB"/>
        </w:rPr>
        <w:t xml:space="preserve"> (eds.): Designing Institutions for Environmental and Resource Management. Edward Elgar, </w:t>
      </w:r>
      <w:smartTag w:uri="urn:schemas-microsoft-com:office:smarttags" w:element="place">
        <w:r>
          <w:rPr>
            <w:lang w:val="en-GB"/>
          </w:rPr>
          <w:t>Cheltenham</w:t>
        </w:r>
      </w:smartTag>
      <w:r>
        <w:rPr>
          <w:lang w:val="en-GB"/>
        </w:rPr>
        <w:t>: 68-90.</w:t>
      </w:r>
    </w:p>
    <w:p w:rsidR="003F6570" w:rsidRDefault="003F6570">
      <w:pPr>
        <w:pStyle w:val="ALiteraturangaben"/>
        <w:rPr>
          <w:lang w:val="en-GB"/>
        </w:rPr>
      </w:pPr>
      <w:proofErr w:type="spellStart"/>
      <w:r>
        <w:rPr>
          <w:smallCaps/>
          <w:szCs w:val="24"/>
          <w:lang w:val="en-GB"/>
        </w:rPr>
        <w:lastRenderedPageBreak/>
        <w:t>Ostrom</w:t>
      </w:r>
      <w:proofErr w:type="spellEnd"/>
      <w:r>
        <w:rPr>
          <w:smallCaps/>
          <w:szCs w:val="24"/>
          <w:lang w:val="en-GB"/>
        </w:rPr>
        <w:t>, E.</w:t>
      </w:r>
      <w:r>
        <w:rPr>
          <w:lang w:val="en-GB"/>
        </w:rPr>
        <w:t xml:space="preserve"> (1999): Institutional Rational Choice. An Assessment of the Institutional Analysis and Development Framework. In: Sabatier, P. (ed.): Theories of the Policy Process. </w:t>
      </w:r>
      <w:smartTag w:uri="urn:schemas-microsoft-com:office:smarttags" w:element="City">
        <w:smartTag w:uri="urn:schemas-microsoft-com:office:smarttags" w:element="place">
          <w:r>
            <w:rPr>
              <w:lang w:val="en-GB"/>
            </w:rPr>
            <w:t>Boulder</w:t>
          </w:r>
        </w:smartTag>
      </w:smartTag>
      <w:r>
        <w:rPr>
          <w:lang w:val="en-GB"/>
        </w:rPr>
        <w:t>, Westview: 35-71.</w:t>
      </w:r>
    </w:p>
    <w:p w:rsidR="003F6570" w:rsidRDefault="003F6570">
      <w:pPr>
        <w:pStyle w:val="ALiteraturangaben"/>
      </w:pPr>
      <w:r>
        <w:rPr>
          <w:smallCaps/>
          <w:szCs w:val="24"/>
        </w:rPr>
        <w:t>Schlüter, A</w:t>
      </w:r>
      <w:r>
        <w:t>. (2001): Institutioneller Wandel und Transformation - Restitution, Transformation und Privatisierung in der tschechischen Landwirtschaft. In: Beckmann</w:t>
      </w:r>
      <w:r>
        <w:rPr>
          <w:smallCaps/>
        </w:rPr>
        <w:t>, V</w:t>
      </w:r>
      <w:r>
        <w:t>. und K. Hagedorn (Hrsg.): Institutioneller Wandel der Landwirtschaft und Ressourcennutzung. Shaker, Aachen.</w:t>
      </w:r>
    </w:p>
    <w:p w:rsidR="003F6570" w:rsidRDefault="003F6570">
      <w:pPr>
        <w:pStyle w:val="ALiteraturangaben"/>
      </w:pPr>
      <w:proofErr w:type="spellStart"/>
      <w:r>
        <w:rPr>
          <w:smallCaps/>
        </w:rPr>
        <w:t>Urfei</w:t>
      </w:r>
      <w:proofErr w:type="spellEnd"/>
      <w:r>
        <w:t xml:space="preserve">, G. (1999): Agrarumweltpolitik nach den Prinzipien der Ökonomischen Theorie des Föderalismus: Ein </w:t>
      </w:r>
      <w:proofErr w:type="spellStart"/>
      <w:r>
        <w:t>Regionalisierungsansatz</w:t>
      </w:r>
      <w:proofErr w:type="spellEnd"/>
      <w:r>
        <w:t xml:space="preserve"> zur territorialen Abgrenzung effektiver Politikaktionsräume</w:t>
      </w:r>
      <w:r>
        <w:rPr>
          <w:i/>
        </w:rPr>
        <w:t>.</w:t>
      </w:r>
      <w:r>
        <w:t xml:space="preserve"> Schriftenreihe des Rheinisch-Westfälischen Instituts für Wirtschaftsforschung. Neue Folge (66). Duncker und Humblot, Berlin.</w:t>
      </w:r>
    </w:p>
    <w:sectPr w:rsidR="003F6570">
      <w:footerReference w:type="even" r:id="rId7"/>
      <w:footerReference w:type="default" r:id="rId8"/>
      <w:headerReference w:type="first" r:id="rId9"/>
      <w:footnotePr>
        <w:numRestart w:val="eachSect"/>
      </w:footnotePr>
      <w:type w:val="oddPage"/>
      <w:pgSz w:w="11906" w:h="16838"/>
      <w:pgMar w:top="1418"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678" w:rsidRDefault="00290678">
      <w:r>
        <w:separator/>
      </w:r>
    </w:p>
  </w:endnote>
  <w:endnote w:type="continuationSeparator" w:id="0">
    <w:p w:rsidR="00290678" w:rsidRDefault="0029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Fett">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B9" w:rsidRDefault="009608B9">
    <w:pPr>
      <w:pStyle w:val="Fuzeile"/>
    </w:pPr>
    <w:r>
      <w:fldChar w:fldCharType="begin"/>
    </w:r>
    <w:r>
      <w:instrText xml:space="preserve"> PAGE </w:instrText>
    </w:r>
    <w:r>
      <w:fldChar w:fldCharType="separate"/>
    </w:r>
    <w:r w:rsidR="00FB1142">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B9" w:rsidRDefault="009608B9" w:rsidP="00342384">
    <w:pPr>
      <w:pStyle w:val="Fuzeile"/>
      <w:jc w:val="right"/>
    </w:pPr>
    <w:r>
      <w:fldChar w:fldCharType="begin"/>
    </w:r>
    <w:r>
      <w:instrText xml:space="preserve"> PAGE </w:instrText>
    </w:r>
    <w:r>
      <w:fldChar w:fldCharType="separate"/>
    </w:r>
    <w:r w:rsidR="00FB114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678" w:rsidRDefault="00290678">
      <w:r>
        <w:separator/>
      </w:r>
    </w:p>
  </w:footnote>
  <w:footnote w:type="continuationSeparator" w:id="0">
    <w:p w:rsidR="00290678" w:rsidRDefault="00290678">
      <w:r>
        <w:continuationSeparator/>
      </w:r>
    </w:p>
  </w:footnote>
  <w:footnote w:id="1">
    <w:p w:rsidR="009608B9" w:rsidRPr="00410E03" w:rsidRDefault="00D33CB2" w:rsidP="00D33CB2">
      <w:pPr>
        <w:pStyle w:val="AFunote"/>
        <w:tabs>
          <w:tab w:val="clear" w:pos="227"/>
          <w:tab w:val="left" w:pos="284"/>
        </w:tabs>
        <w:rPr>
          <w:lang w:val="de-DE"/>
        </w:rPr>
      </w:pPr>
      <w:r w:rsidRPr="00D33CB2">
        <w:rPr>
          <w:rStyle w:val="AFunoteZchn"/>
          <w:highlight w:val="yellow"/>
          <w:lang w:val="de-DE"/>
        </w:rPr>
        <w:t xml:space="preserve">[Format </w:t>
      </w:r>
      <w:proofErr w:type="spellStart"/>
      <w:r w:rsidRPr="00D33CB2">
        <w:rPr>
          <w:rStyle w:val="AFunoteZchn"/>
          <w:highlight w:val="yellow"/>
          <w:lang w:val="de-DE"/>
        </w:rPr>
        <w:t>A_Fußnote</w:t>
      </w:r>
      <w:proofErr w:type="spellEnd"/>
      <w:r w:rsidRPr="00D33CB2">
        <w:rPr>
          <w:rStyle w:val="AFunoteZchn"/>
          <w:highlight w:val="yellow"/>
          <w:lang w:val="de-DE"/>
        </w:rPr>
        <w:t>]</w:t>
      </w:r>
      <w:r w:rsidR="009608B9" w:rsidRPr="00957092">
        <w:rPr>
          <w:rStyle w:val="AFunoteZchn"/>
          <w:vertAlign w:val="superscript"/>
          <w:lang w:val="de-DE"/>
        </w:rPr>
        <w:footnoteRef/>
      </w:r>
      <w:r w:rsidR="009608B9" w:rsidRPr="00410E03">
        <w:rPr>
          <w:rStyle w:val="AFunoteZchn"/>
          <w:lang w:val="de-DE"/>
        </w:rPr>
        <w:t xml:space="preserve"> </w:t>
      </w:r>
      <w:r w:rsidR="009608B9" w:rsidRPr="00410E03">
        <w:rPr>
          <w:rStyle w:val="AFunoteZchn"/>
          <w:lang w:val="de-DE"/>
        </w:rPr>
        <w:tab/>
      </w:r>
      <w:r w:rsidR="009608B9" w:rsidRPr="00C56D45">
        <w:rPr>
          <w:rStyle w:val="AFunoteZchn"/>
          <w:highlight w:val="yellow"/>
          <w:lang w:val="de-DE"/>
        </w:rPr>
        <w:t>Vollständige Adresse einschließlich E-Mail des Autors</w:t>
      </w:r>
    </w:p>
  </w:footnote>
  <w:footnote w:id="2">
    <w:p w:rsidR="009608B9" w:rsidRDefault="00D33CB2" w:rsidP="00D33CB2">
      <w:pPr>
        <w:pStyle w:val="AFunote"/>
        <w:tabs>
          <w:tab w:val="clear" w:pos="227"/>
          <w:tab w:val="left" w:pos="284"/>
        </w:tabs>
        <w:rPr>
          <w:lang w:val="de-DE"/>
        </w:rPr>
      </w:pPr>
      <w:r w:rsidRPr="00DD5B80">
        <w:rPr>
          <w:highlight w:val="yellow"/>
          <w:lang w:val="de-DE"/>
        </w:rPr>
        <w:t xml:space="preserve">[Format </w:t>
      </w:r>
      <w:proofErr w:type="spellStart"/>
      <w:r w:rsidRPr="00DD5B80">
        <w:rPr>
          <w:highlight w:val="yellow"/>
          <w:lang w:val="de-DE"/>
        </w:rPr>
        <w:t>A_</w:t>
      </w:r>
      <w:r>
        <w:rPr>
          <w:highlight w:val="yellow"/>
          <w:lang w:val="de-DE"/>
        </w:rPr>
        <w:t>Fußnote</w:t>
      </w:r>
      <w:proofErr w:type="spellEnd"/>
      <w:r w:rsidRPr="00DD5B80">
        <w:rPr>
          <w:highlight w:val="yellow"/>
          <w:lang w:val="de-DE"/>
        </w:rPr>
        <w:t>]</w:t>
      </w:r>
      <w:r w:rsidR="009608B9">
        <w:rPr>
          <w:rStyle w:val="Funotenzeichen"/>
        </w:rPr>
        <w:footnoteRef/>
      </w:r>
      <w:r w:rsidR="009608B9">
        <w:rPr>
          <w:lang w:val="de-DE"/>
        </w:rPr>
        <w:tab/>
        <w:t xml:space="preserve">Damit sind zum einen die verschiedenen politischen Ebenen (EU, Bundes-, Landes- und Landkreisebene) und zum anderen die in Abschnitt </w:t>
      </w:r>
      <w:r w:rsidR="009608B9">
        <w:t>x</w:t>
      </w:r>
      <w:r w:rsidR="009608B9">
        <w:rPr>
          <w:lang w:val="de-DE"/>
        </w:rPr>
        <w:t xml:space="preserve"> beschriebenen „Regel-Ebenen“ gemeint.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B9" w:rsidRDefault="009608B9" w:rsidP="00373AAE">
    <w:pPr>
      <w:pStyle w:val="AKopfzeile"/>
    </w:pPr>
    <w:r>
      <w:t xml:space="preserve">Schriften der Gesellschaft für Wirtschafts- und Sozialwissenschaften des Landbaues e.V., Bd. </w:t>
    </w:r>
    <w:r w:rsidR="00FB1142">
      <w:t>56</w:t>
    </w:r>
    <w:r>
      <w:t>, 20</w:t>
    </w:r>
    <w:r w:rsidR="00FB1142">
      <w:t>21</w:t>
    </w:r>
    <w:r>
      <w:t>, S. 000 – 000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1096"/>
    <w:multiLevelType w:val="multilevel"/>
    <w:tmpl w:val="CE309118"/>
    <w:lvl w:ilvl="0">
      <w:start w:val="1"/>
      <w:numFmt w:val="decimal"/>
      <w:lvlText w:val="%1"/>
      <w:lvlJc w:val="left"/>
      <w:pPr>
        <w:tabs>
          <w:tab w:val="num" w:pos="539"/>
        </w:tabs>
        <w:ind w:left="539" w:hanging="39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792"/>
        </w:tabs>
        <w:ind w:left="792" w:hanging="792"/>
      </w:pPr>
      <w:rPr>
        <w:rFonts w:hint="default"/>
        <w:b/>
        <w:i w:val="0"/>
      </w:rPr>
    </w:lvl>
    <w:lvl w:ilvl="2">
      <w:start w:val="1"/>
      <w:numFmt w:val="decimal"/>
      <w:lvlText w:val="%1.%2.%3."/>
      <w:lvlJc w:val="left"/>
      <w:pPr>
        <w:tabs>
          <w:tab w:val="num" w:pos="1440"/>
        </w:tabs>
        <w:ind w:left="1224" w:hanging="1224"/>
      </w:pPr>
      <w:rPr>
        <w:rFonts w:hint="default"/>
        <w:b/>
        <w:i w:val="0"/>
      </w:rPr>
    </w:lvl>
    <w:lvl w:ilvl="3">
      <w:start w:val="1"/>
      <w:numFmt w:val="decimal"/>
      <w:lvlText w:val="%1.%2.%3.%4."/>
      <w:lvlJc w:val="left"/>
      <w:pPr>
        <w:tabs>
          <w:tab w:val="num" w:pos="1800"/>
        </w:tabs>
        <w:ind w:left="1728" w:hanging="172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496716"/>
    <w:multiLevelType w:val="hybridMultilevel"/>
    <w:tmpl w:val="25547F2E"/>
    <w:lvl w:ilvl="0" w:tplc="FFFFFFFF">
      <w:start w:val="1"/>
      <w:numFmt w:val="decimal"/>
      <w:lvlText w:val="Abbildung %1:"/>
      <w:lvlJc w:val="left"/>
      <w:pPr>
        <w:tabs>
          <w:tab w:val="num" w:pos="2291"/>
        </w:tabs>
        <w:ind w:left="1211" w:hanging="360"/>
      </w:pPr>
      <w:rPr>
        <w:rFonts w:ascii="Times New Roman" w:hAnsi="Times New Roman" w:hint="default"/>
        <w:caps w:val="0"/>
        <w:strike w:val="0"/>
        <w:dstrike w:val="0"/>
        <w:outline w:val="0"/>
        <w:shadow w:val="0"/>
        <w:emboss w:val="0"/>
        <w:imprint w:val="0"/>
        <w:vanish w:val="0"/>
        <w:sz w:val="24"/>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CD15F4"/>
    <w:multiLevelType w:val="singleLevel"/>
    <w:tmpl w:val="2F229D8A"/>
    <w:lvl w:ilvl="0">
      <w:start w:val="1"/>
      <w:numFmt w:val="bullet"/>
      <w:pStyle w:val="ATabellenaufzhlung"/>
      <w:lvlText w:val=""/>
      <w:lvlJc w:val="left"/>
      <w:pPr>
        <w:tabs>
          <w:tab w:val="num" w:pos="360"/>
        </w:tabs>
        <w:ind w:left="360" w:hanging="360"/>
      </w:pPr>
      <w:rPr>
        <w:rFonts w:ascii="Symbol" w:hAnsi="Symbol" w:hint="default"/>
      </w:rPr>
    </w:lvl>
  </w:abstractNum>
  <w:abstractNum w:abstractNumId="3" w15:restartNumberingAfterBreak="0">
    <w:nsid w:val="06146CC4"/>
    <w:multiLevelType w:val="hybridMultilevel"/>
    <w:tmpl w:val="E5FC9D2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81731F"/>
    <w:multiLevelType w:val="multilevel"/>
    <w:tmpl w:val="EB88587A"/>
    <w:lvl w:ilvl="0">
      <w:start w:val="1"/>
      <w:numFmt w:val="decimal"/>
      <w:isLgl/>
      <w:lvlText w:val="%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3C7A4B"/>
    <w:multiLevelType w:val="singleLevel"/>
    <w:tmpl w:val="45B49D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8D7CF4"/>
    <w:multiLevelType w:val="hybridMultilevel"/>
    <w:tmpl w:val="DECA7850"/>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0B6034"/>
    <w:multiLevelType w:val="hybridMultilevel"/>
    <w:tmpl w:val="D578F0D0"/>
    <w:lvl w:ilvl="0" w:tplc="FFFFFFFF">
      <w:start w:val="1"/>
      <w:numFmt w:val="decimal"/>
      <w:lvlText w:val="%1."/>
      <w:lvlJc w:val="left"/>
      <w:pPr>
        <w:tabs>
          <w:tab w:val="num" w:pos="1004"/>
        </w:tabs>
        <w:ind w:left="100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8" w15:restartNumberingAfterBreak="0">
    <w:nsid w:val="1C4D7C8F"/>
    <w:multiLevelType w:val="hybridMultilevel"/>
    <w:tmpl w:val="7A06C244"/>
    <w:lvl w:ilvl="0" w:tplc="FFFFFFFF">
      <w:start w:val="1"/>
      <w:numFmt w:val="bullet"/>
      <w:lvlText w:val=""/>
      <w:lvlJc w:val="left"/>
      <w:pPr>
        <w:tabs>
          <w:tab w:val="num" w:pos="2023"/>
        </w:tabs>
        <w:ind w:left="2023" w:hanging="360"/>
      </w:pPr>
      <w:rPr>
        <w:rFonts w:ascii="Symbol" w:hAnsi="Symbol" w:hint="default"/>
      </w:rPr>
    </w:lvl>
    <w:lvl w:ilvl="1" w:tplc="FFFFFFFF" w:tentative="1">
      <w:start w:val="1"/>
      <w:numFmt w:val="bullet"/>
      <w:lvlText w:val="o"/>
      <w:lvlJc w:val="left"/>
      <w:pPr>
        <w:tabs>
          <w:tab w:val="num" w:pos="2263"/>
        </w:tabs>
        <w:ind w:left="2263" w:hanging="360"/>
      </w:pPr>
      <w:rPr>
        <w:rFonts w:ascii="Courier New" w:hAnsi="Courier New" w:cs="Courier New" w:hint="default"/>
      </w:rPr>
    </w:lvl>
    <w:lvl w:ilvl="2" w:tplc="FFFFFFFF" w:tentative="1">
      <w:start w:val="1"/>
      <w:numFmt w:val="bullet"/>
      <w:lvlText w:val=""/>
      <w:lvlJc w:val="left"/>
      <w:pPr>
        <w:tabs>
          <w:tab w:val="num" w:pos="2983"/>
        </w:tabs>
        <w:ind w:left="2983" w:hanging="360"/>
      </w:pPr>
      <w:rPr>
        <w:rFonts w:ascii="Wingdings" w:hAnsi="Wingdings" w:hint="default"/>
      </w:rPr>
    </w:lvl>
    <w:lvl w:ilvl="3" w:tplc="FFFFFFFF" w:tentative="1">
      <w:start w:val="1"/>
      <w:numFmt w:val="bullet"/>
      <w:lvlText w:val=""/>
      <w:lvlJc w:val="left"/>
      <w:pPr>
        <w:tabs>
          <w:tab w:val="num" w:pos="3703"/>
        </w:tabs>
        <w:ind w:left="3703" w:hanging="360"/>
      </w:pPr>
      <w:rPr>
        <w:rFonts w:ascii="Symbol" w:hAnsi="Symbol" w:hint="default"/>
      </w:rPr>
    </w:lvl>
    <w:lvl w:ilvl="4" w:tplc="FFFFFFFF" w:tentative="1">
      <w:start w:val="1"/>
      <w:numFmt w:val="bullet"/>
      <w:lvlText w:val="o"/>
      <w:lvlJc w:val="left"/>
      <w:pPr>
        <w:tabs>
          <w:tab w:val="num" w:pos="4423"/>
        </w:tabs>
        <w:ind w:left="4423" w:hanging="360"/>
      </w:pPr>
      <w:rPr>
        <w:rFonts w:ascii="Courier New" w:hAnsi="Courier New" w:cs="Courier New" w:hint="default"/>
      </w:rPr>
    </w:lvl>
    <w:lvl w:ilvl="5" w:tplc="FFFFFFFF" w:tentative="1">
      <w:start w:val="1"/>
      <w:numFmt w:val="bullet"/>
      <w:lvlText w:val=""/>
      <w:lvlJc w:val="left"/>
      <w:pPr>
        <w:tabs>
          <w:tab w:val="num" w:pos="5143"/>
        </w:tabs>
        <w:ind w:left="5143" w:hanging="360"/>
      </w:pPr>
      <w:rPr>
        <w:rFonts w:ascii="Wingdings" w:hAnsi="Wingdings" w:hint="default"/>
      </w:rPr>
    </w:lvl>
    <w:lvl w:ilvl="6" w:tplc="FFFFFFFF" w:tentative="1">
      <w:start w:val="1"/>
      <w:numFmt w:val="bullet"/>
      <w:lvlText w:val=""/>
      <w:lvlJc w:val="left"/>
      <w:pPr>
        <w:tabs>
          <w:tab w:val="num" w:pos="5863"/>
        </w:tabs>
        <w:ind w:left="5863" w:hanging="360"/>
      </w:pPr>
      <w:rPr>
        <w:rFonts w:ascii="Symbol" w:hAnsi="Symbol" w:hint="default"/>
      </w:rPr>
    </w:lvl>
    <w:lvl w:ilvl="7" w:tplc="FFFFFFFF" w:tentative="1">
      <w:start w:val="1"/>
      <w:numFmt w:val="bullet"/>
      <w:lvlText w:val="o"/>
      <w:lvlJc w:val="left"/>
      <w:pPr>
        <w:tabs>
          <w:tab w:val="num" w:pos="6583"/>
        </w:tabs>
        <w:ind w:left="6583" w:hanging="360"/>
      </w:pPr>
      <w:rPr>
        <w:rFonts w:ascii="Courier New" w:hAnsi="Courier New" w:cs="Courier New" w:hint="default"/>
      </w:rPr>
    </w:lvl>
    <w:lvl w:ilvl="8" w:tplc="FFFFFFFF" w:tentative="1">
      <w:start w:val="1"/>
      <w:numFmt w:val="bullet"/>
      <w:lvlText w:val=""/>
      <w:lvlJc w:val="left"/>
      <w:pPr>
        <w:tabs>
          <w:tab w:val="num" w:pos="7303"/>
        </w:tabs>
        <w:ind w:left="7303" w:hanging="360"/>
      </w:pPr>
      <w:rPr>
        <w:rFonts w:ascii="Wingdings" w:hAnsi="Wingdings" w:hint="default"/>
      </w:rPr>
    </w:lvl>
  </w:abstractNum>
  <w:abstractNum w:abstractNumId="9" w15:restartNumberingAfterBreak="0">
    <w:nsid w:val="1F8860EF"/>
    <w:multiLevelType w:val="singleLevel"/>
    <w:tmpl w:val="D250FBD8"/>
    <w:lvl w:ilvl="0">
      <w:start w:val="1"/>
      <w:numFmt w:val="decimal"/>
      <w:lvlText w:val="%1."/>
      <w:lvlJc w:val="left"/>
      <w:pPr>
        <w:tabs>
          <w:tab w:val="num" w:pos="360"/>
        </w:tabs>
        <w:ind w:left="0" w:firstLine="0"/>
      </w:pPr>
    </w:lvl>
  </w:abstractNum>
  <w:abstractNum w:abstractNumId="10" w15:restartNumberingAfterBreak="0">
    <w:nsid w:val="1FDA2622"/>
    <w:multiLevelType w:val="hybridMultilevel"/>
    <w:tmpl w:val="644AC250"/>
    <w:lvl w:ilvl="0" w:tplc="FFFFFFFF">
      <w:start w:val="1"/>
      <w:numFmt w:val="decimal"/>
      <w:lvlText w:val="%1."/>
      <w:lvlJc w:val="left"/>
      <w:pPr>
        <w:tabs>
          <w:tab w:val="num" w:pos="34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BD3809"/>
    <w:multiLevelType w:val="hybridMultilevel"/>
    <w:tmpl w:val="F5AA3608"/>
    <w:lvl w:ilvl="0" w:tplc="4ABC6F60">
      <w:start w:val="1"/>
      <w:numFmt w:val="decimal"/>
      <w:pStyle w:val="AbsatzNumm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8256AF"/>
    <w:multiLevelType w:val="multilevel"/>
    <w:tmpl w:val="89CE339C"/>
    <w:lvl w:ilvl="0">
      <w:start w:val="4"/>
      <w:numFmt w:val="decimal"/>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3B4323"/>
    <w:multiLevelType w:val="hybridMultilevel"/>
    <w:tmpl w:val="7008691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ADC7AAC"/>
    <w:multiLevelType w:val="singleLevel"/>
    <w:tmpl w:val="2C868D2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13697F"/>
    <w:multiLevelType w:val="hybridMultilevel"/>
    <w:tmpl w:val="F0466F5A"/>
    <w:lvl w:ilvl="0" w:tplc="FFFFFFFF">
      <w:start w:val="1"/>
      <w:numFmt w:val="bullet"/>
      <w:lvlText w:val=""/>
      <w:lvlJc w:val="left"/>
      <w:pPr>
        <w:tabs>
          <w:tab w:val="num" w:pos="360"/>
        </w:tabs>
        <w:ind w:left="357" w:hanging="357"/>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C1E23"/>
    <w:multiLevelType w:val="hybridMultilevel"/>
    <w:tmpl w:val="AC0819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A18FF"/>
    <w:multiLevelType w:val="singleLevel"/>
    <w:tmpl w:val="67E2BAFA"/>
    <w:lvl w:ilvl="0">
      <w:start w:val="1"/>
      <w:numFmt w:val="decimal"/>
      <w:lvlText w:val="%1."/>
      <w:lvlJc w:val="left"/>
      <w:pPr>
        <w:tabs>
          <w:tab w:val="num" w:pos="360"/>
        </w:tabs>
        <w:ind w:left="360" w:hanging="360"/>
      </w:pPr>
    </w:lvl>
  </w:abstractNum>
  <w:abstractNum w:abstractNumId="18" w15:restartNumberingAfterBreak="0">
    <w:nsid w:val="34D34485"/>
    <w:multiLevelType w:val="hybridMultilevel"/>
    <w:tmpl w:val="9CFCDC1A"/>
    <w:lvl w:ilvl="0" w:tplc="5F7EC782">
      <w:start w:val="1"/>
      <w:numFmt w:val="bullet"/>
      <w:lvlText w:val=""/>
      <w:lvlJc w:val="left"/>
      <w:pPr>
        <w:tabs>
          <w:tab w:val="num" w:pos="720"/>
        </w:tabs>
        <w:ind w:left="720" w:hanging="360"/>
      </w:pPr>
      <w:rPr>
        <w:rFonts w:ascii="Symbol" w:hAnsi="Symbol" w:hint="default"/>
      </w:rPr>
    </w:lvl>
    <w:lvl w:ilvl="1" w:tplc="72F6AA2E" w:tentative="1">
      <w:start w:val="1"/>
      <w:numFmt w:val="bullet"/>
      <w:lvlText w:val="o"/>
      <w:lvlJc w:val="left"/>
      <w:pPr>
        <w:tabs>
          <w:tab w:val="num" w:pos="1440"/>
        </w:tabs>
        <w:ind w:left="1440" w:hanging="360"/>
      </w:pPr>
      <w:rPr>
        <w:rFonts w:ascii="Courier New" w:hAnsi="Courier New" w:cs="Courier New" w:hint="default"/>
      </w:rPr>
    </w:lvl>
    <w:lvl w:ilvl="2" w:tplc="3C2E148E" w:tentative="1">
      <w:start w:val="1"/>
      <w:numFmt w:val="bullet"/>
      <w:lvlText w:val=""/>
      <w:lvlJc w:val="left"/>
      <w:pPr>
        <w:tabs>
          <w:tab w:val="num" w:pos="2160"/>
        </w:tabs>
        <w:ind w:left="2160" w:hanging="360"/>
      </w:pPr>
      <w:rPr>
        <w:rFonts w:ascii="Wingdings" w:hAnsi="Wingdings" w:hint="default"/>
      </w:rPr>
    </w:lvl>
    <w:lvl w:ilvl="3" w:tplc="0D2CD0E4" w:tentative="1">
      <w:start w:val="1"/>
      <w:numFmt w:val="bullet"/>
      <w:lvlText w:val=""/>
      <w:lvlJc w:val="left"/>
      <w:pPr>
        <w:tabs>
          <w:tab w:val="num" w:pos="2880"/>
        </w:tabs>
        <w:ind w:left="2880" w:hanging="360"/>
      </w:pPr>
      <w:rPr>
        <w:rFonts w:ascii="Symbol" w:hAnsi="Symbol" w:hint="default"/>
      </w:rPr>
    </w:lvl>
    <w:lvl w:ilvl="4" w:tplc="78024894" w:tentative="1">
      <w:start w:val="1"/>
      <w:numFmt w:val="bullet"/>
      <w:lvlText w:val="o"/>
      <w:lvlJc w:val="left"/>
      <w:pPr>
        <w:tabs>
          <w:tab w:val="num" w:pos="3600"/>
        </w:tabs>
        <w:ind w:left="3600" w:hanging="360"/>
      </w:pPr>
      <w:rPr>
        <w:rFonts w:ascii="Courier New" w:hAnsi="Courier New" w:cs="Courier New" w:hint="default"/>
      </w:rPr>
    </w:lvl>
    <w:lvl w:ilvl="5" w:tplc="EBBAD6B2" w:tentative="1">
      <w:start w:val="1"/>
      <w:numFmt w:val="bullet"/>
      <w:lvlText w:val=""/>
      <w:lvlJc w:val="left"/>
      <w:pPr>
        <w:tabs>
          <w:tab w:val="num" w:pos="4320"/>
        </w:tabs>
        <w:ind w:left="4320" w:hanging="360"/>
      </w:pPr>
      <w:rPr>
        <w:rFonts w:ascii="Wingdings" w:hAnsi="Wingdings" w:hint="default"/>
      </w:rPr>
    </w:lvl>
    <w:lvl w:ilvl="6" w:tplc="060C454A" w:tentative="1">
      <w:start w:val="1"/>
      <w:numFmt w:val="bullet"/>
      <w:lvlText w:val=""/>
      <w:lvlJc w:val="left"/>
      <w:pPr>
        <w:tabs>
          <w:tab w:val="num" w:pos="5040"/>
        </w:tabs>
        <w:ind w:left="5040" w:hanging="360"/>
      </w:pPr>
      <w:rPr>
        <w:rFonts w:ascii="Symbol" w:hAnsi="Symbol" w:hint="default"/>
      </w:rPr>
    </w:lvl>
    <w:lvl w:ilvl="7" w:tplc="9E86E336" w:tentative="1">
      <w:start w:val="1"/>
      <w:numFmt w:val="bullet"/>
      <w:lvlText w:val="o"/>
      <w:lvlJc w:val="left"/>
      <w:pPr>
        <w:tabs>
          <w:tab w:val="num" w:pos="5760"/>
        </w:tabs>
        <w:ind w:left="5760" w:hanging="360"/>
      </w:pPr>
      <w:rPr>
        <w:rFonts w:ascii="Courier New" w:hAnsi="Courier New" w:cs="Courier New" w:hint="default"/>
      </w:rPr>
    </w:lvl>
    <w:lvl w:ilvl="8" w:tplc="4AA878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36CA7"/>
    <w:multiLevelType w:val="hybridMultilevel"/>
    <w:tmpl w:val="85B63404"/>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E0A3DDF"/>
    <w:multiLevelType w:val="hybridMultilevel"/>
    <w:tmpl w:val="4F9EE4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1490C"/>
    <w:multiLevelType w:val="hybridMultilevel"/>
    <w:tmpl w:val="68EC7F26"/>
    <w:lvl w:ilvl="0" w:tplc="FFFFFFFF">
      <w:start w:val="1"/>
      <w:numFmt w:val="decimal"/>
      <w:lvlText w:val="%1."/>
      <w:lvlJc w:val="left"/>
      <w:pPr>
        <w:tabs>
          <w:tab w:val="num" w:pos="680"/>
        </w:tabs>
        <w:ind w:left="680" w:hanging="6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F07FC4"/>
    <w:multiLevelType w:val="multilevel"/>
    <w:tmpl w:val="DB62F1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8761C92"/>
    <w:multiLevelType w:val="singleLevel"/>
    <w:tmpl w:val="AD761512"/>
    <w:lvl w:ilvl="0">
      <w:start w:val="1"/>
      <w:numFmt w:val="decimal"/>
      <w:lvlText w:val="(%1) "/>
      <w:lvlJc w:val="left"/>
      <w:pPr>
        <w:tabs>
          <w:tab w:val="num" w:pos="567"/>
        </w:tabs>
        <w:ind w:left="567" w:hanging="567"/>
      </w:pPr>
      <w:rPr>
        <w:rFonts w:ascii="Times New Roman" w:hAnsi="Times New Roman" w:hint="default"/>
        <w:b w:val="0"/>
        <w:i w:val="0"/>
        <w:sz w:val="24"/>
        <w:u w:val="none"/>
      </w:rPr>
    </w:lvl>
  </w:abstractNum>
  <w:abstractNum w:abstractNumId="24" w15:restartNumberingAfterBreak="0">
    <w:nsid w:val="49AF7F67"/>
    <w:multiLevelType w:val="hybridMultilevel"/>
    <w:tmpl w:val="B5E49CFC"/>
    <w:lvl w:ilvl="0" w:tplc="FFFFFFFF">
      <w:start w:val="1"/>
      <w:numFmt w:val="upperRoman"/>
      <w:lvlText w:val="%1."/>
      <w:lvlJc w:val="left"/>
      <w:pPr>
        <w:tabs>
          <w:tab w:val="num" w:pos="108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EFE2642"/>
    <w:multiLevelType w:val="hybridMultilevel"/>
    <w:tmpl w:val="D3FE5B8C"/>
    <w:lvl w:ilvl="0" w:tplc="FFFFFFFF">
      <w:start w:val="1"/>
      <w:numFmt w:val="decimal"/>
      <w:lvlText w:val="%1"/>
      <w:lvlJc w:val="left"/>
      <w:pPr>
        <w:tabs>
          <w:tab w:val="num" w:pos="360"/>
        </w:tabs>
        <w:ind w:left="360" w:hanging="360"/>
      </w:pPr>
      <w:rPr>
        <w:rFonts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1F31C7E"/>
    <w:multiLevelType w:val="multilevel"/>
    <w:tmpl w:val="9B769A54"/>
    <w:lvl w:ilvl="0">
      <w:start w:val="1"/>
      <w:numFmt w:val="decimal"/>
      <w:pStyle w:val="berschrift3"/>
      <w:lvlText w:val="%1."/>
      <w:lvlJc w:val="left"/>
      <w:pPr>
        <w:tabs>
          <w:tab w:val="num" w:pos="360"/>
        </w:tabs>
        <w:ind w:left="0" w:firstLine="0"/>
      </w:pPr>
      <w:rPr>
        <w:rFonts w:ascii="Century Gothic" w:hAnsi="Century Gothic" w:hint="default"/>
        <w:sz w:val="32"/>
      </w:rPr>
    </w:lvl>
    <w:lvl w:ilvl="1">
      <w:start w:val="1"/>
      <w:numFmt w:val="decimal"/>
      <w:lvlText w:val="%1.%2. "/>
      <w:lvlJc w:val="left"/>
      <w:pPr>
        <w:tabs>
          <w:tab w:val="num" w:pos="720"/>
        </w:tabs>
        <w:ind w:left="0" w:firstLine="0"/>
      </w:pPr>
      <w:rPr>
        <w:rFonts w:ascii="Century Gothic" w:hAnsi="Century Gothic" w:hint="default"/>
        <w:sz w:val="28"/>
      </w:rPr>
    </w:lvl>
    <w:lvl w:ilvl="2">
      <w:start w:val="1"/>
      <w:numFmt w:val="decimal"/>
      <w:lvlText w:val="%2.%3.1."/>
      <w:lvlJc w:val="left"/>
      <w:pPr>
        <w:tabs>
          <w:tab w:val="num" w:pos="720"/>
        </w:tabs>
        <w:ind w:left="0" w:firstLine="0"/>
      </w:pPr>
      <w:rPr>
        <w:rFonts w:ascii="Century Gothic" w:hAnsi="Century Gothic"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2066B8F"/>
    <w:multiLevelType w:val="multilevel"/>
    <w:tmpl w:val="B7189136"/>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8" w15:restartNumberingAfterBreak="0">
    <w:nsid w:val="53715DD8"/>
    <w:multiLevelType w:val="hybridMultilevel"/>
    <w:tmpl w:val="1D90A516"/>
    <w:lvl w:ilvl="0" w:tplc="F8E85E7A">
      <w:start w:val="1"/>
      <w:numFmt w:val="bullet"/>
      <w:lvlText w:val=""/>
      <w:lvlJc w:val="left"/>
      <w:pPr>
        <w:tabs>
          <w:tab w:val="num" w:pos="720"/>
        </w:tabs>
        <w:ind w:left="720" w:hanging="360"/>
      </w:pPr>
      <w:rPr>
        <w:rFonts w:ascii="Wingdings" w:hAnsi="Wingdings" w:hint="default"/>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73676"/>
    <w:multiLevelType w:val="singleLevel"/>
    <w:tmpl w:val="42F8982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000964"/>
    <w:multiLevelType w:val="hybridMultilevel"/>
    <w:tmpl w:val="1E588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5A5236E4"/>
    <w:multiLevelType w:val="singleLevel"/>
    <w:tmpl w:val="C5248764"/>
    <w:lvl w:ilvl="0">
      <w:start w:val="1"/>
      <w:numFmt w:val="decimal"/>
      <w:lvlText w:val="%1"/>
      <w:lvlJc w:val="left"/>
      <w:pPr>
        <w:tabs>
          <w:tab w:val="num" w:pos="709"/>
        </w:tabs>
        <w:ind w:left="709" w:hanging="709"/>
      </w:pPr>
    </w:lvl>
  </w:abstractNum>
  <w:abstractNum w:abstractNumId="32" w15:restartNumberingAfterBreak="0">
    <w:nsid w:val="5BFB0566"/>
    <w:multiLevelType w:val="hybridMultilevel"/>
    <w:tmpl w:val="E8DE189A"/>
    <w:lvl w:ilvl="0" w:tplc="FFFFFFFF">
      <w:numFmt w:val="bullet"/>
      <w:lvlText w:val="-"/>
      <w:lvlJc w:val="left"/>
      <w:pPr>
        <w:tabs>
          <w:tab w:val="num" w:pos="680"/>
        </w:tabs>
        <w:ind w:left="680" w:hanging="68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E15F14"/>
    <w:multiLevelType w:val="multilevel"/>
    <w:tmpl w:val="2CF2B9F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0E456EC"/>
    <w:multiLevelType w:val="hybridMultilevel"/>
    <w:tmpl w:val="E00EFF10"/>
    <w:lvl w:ilvl="0" w:tplc="FFFFFFFF">
      <w:start w:val="1"/>
      <w:numFmt w:val="bullet"/>
      <w:lvlText w:val="-"/>
      <w:lvlJc w:val="left"/>
      <w:pPr>
        <w:tabs>
          <w:tab w:val="num" w:pos="360"/>
        </w:tabs>
        <w:ind w:left="357" w:hanging="357"/>
      </w:pPr>
      <w:rPr>
        <w:rFont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801"/>
    <w:multiLevelType w:val="hybridMultilevel"/>
    <w:tmpl w:val="EE803E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6063AC2"/>
    <w:multiLevelType w:val="singleLevel"/>
    <w:tmpl w:val="2F427C58"/>
    <w:lvl w:ilvl="0">
      <w:start w:val="1"/>
      <w:numFmt w:val="decimal"/>
      <w:pStyle w:val="berschrift2"/>
      <w:lvlText w:val="%1."/>
      <w:lvlJc w:val="left"/>
      <w:pPr>
        <w:tabs>
          <w:tab w:val="num" w:pos="454"/>
        </w:tabs>
        <w:ind w:left="454" w:hanging="454"/>
      </w:pPr>
    </w:lvl>
  </w:abstractNum>
  <w:abstractNum w:abstractNumId="37" w15:restartNumberingAfterBreak="0">
    <w:nsid w:val="6A337C15"/>
    <w:multiLevelType w:val="multilevel"/>
    <w:tmpl w:val="0A3AC9F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BC36D28"/>
    <w:multiLevelType w:val="hybridMultilevel"/>
    <w:tmpl w:val="AB0A0F3C"/>
    <w:lvl w:ilvl="0" w:tplc="F7A061AA">
      <w:start w:val="1"/>
      <w:numFmt w:val="bullet"/>
      <w:pStyle w:val="A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B523B4"/>
    <w:multiLevelType w:val="hybridMultilevel"/>
    <w:tmpl w:val="EFE00322"/>
    <w:lvl w:ilvl="0" w:tplc="FFFFFFFF">
      <w:start w:val="1"/>
      <w:numFmt w:val="bullet"/>
      <w:lvlText w:val=""/>
      <w:lvlJc w:val="left"/>
      <w:pPr>
        <w:tabs>
          <w:tab w:val="num" w:pos="644"/>
        </w:tabs>
        <w:ind w:left="644" w:hanging="360"/>
      </w:pPr>
      <w:rPr>
        <w:rFonts w:ascii="Wingdings" w:hAnsi="Wingdings" w:hint="default"/>
      </w:rPr>
    </w:lvl>
    <w:lvl w:ilvl="1" w:tplc="FFFFFFFF">
      <w:start w:val="1"/>
      <w:numFmt w:val="lowerLetter"/>
      <w:lvlText w:val="%2."/>
      <w:lvlJc w:val="left"/>
      <w:pPr>
        <w:tabs>
          <w:tab w:val="num" w:pos="2048"/>
        </w:tabs>
        <w:ind w:left="2048" w:hanging="360"/>
      </w:pPr>
    </w:lvl>
    <w:lvl w:ilvl="2" w:tplc="FFFFFFFF" w:tentative="1">
      <w:start w:val="1"/>
      <w:numFmt w:val="lowerRoman"/>
      <w:lvlText w:val="%3."/>
      <w:lvlJc w:val="right"/>
      <w:pPr>
        <w:tabs>
          <w:tab w:val="num" w:pos="2768"/>
        </w:tabs>
        <w:ind w:left="2768" w:hanging="180"/>
      </w:pPr>
    </w:lvl>
    <w:lvl w:ilvl="3" w:tplc="FFFFFFFF" w:tentative="1">
      <w:start w:val="1"/>
      <w:numFmt w:val="decimal"/>
      <w:lvlText w:val="%4."/>
      <w:lvlJc w:val="left"/>
      <w:pPr>
        <w:tabs>
          <w:tab w:val="num" w:pos="3488"/>
        </w:tabs>
        <w:ind w:left="3488" w:hanging="360"/>
      </w:pPr>
    </w:lvl>
    <w:lvl w:ilvl="4" w:tplc="FFFFFFFF" w:tentative="1">
      <w:start w:val="1"/>
      <w:numFmt w:val="lowerLetter"/>
      <w:lvlText w:val="%5."/>
      <w:lvlJc w:val="left"/>
      <w:pPr>
        <w:tabs>
          <w:tab w:val="num" w:pos="4208"/>
        </w:tabs>
        <w:ind w:left="4208" w:hanging="360"/>
      </w:pPr>
    </w:lvl>
    <w:lvl w:ilvl="5" w:tplc="FFFFFFFF" w:tentative="1">
      <w:start w:val="1"/>
      <w:numFmt w:val="lowerRoman"/>
      <w:lvlText w:val="%6."/>
      <w:lvlJc w:val="right"/>
      <w:pPr>
        <w:tabs>
          <w:tab w:val="num" w:pos="4928"/>
        </w:tabs>
        <w:ind w:left="4928" w:hanging="180"/>
      </w:pPr>
    </w:lvl>
    <w:lvl w:ilvl="6" w:tplc="FFFFFFFF" w:tentative="1">
      <w:start w:val="1"/>
      <w:numFmt w:val="decimal"/>
      <w:lvlText w:val="%7."/>
      <w:lvlJc w:val="left"/>
      <w:pPr>
        <w:tabs>
          <w:tab w:val="num" w:pos="5648"/>
        </w:tabs>
        <w:ind w:left="5648" w:hanging="360"/>
      </w:pPr>
    </w:lvl>
    <w:lvl w:ilvl="7" w:tplc="FFFFFFFF" w:tentative="1">
      <w:start w:val="1"/>
      <w:numFmt w:val="lowerLetter"/>
      <w:lvlText w:val="%8."/>
      <w:lvlJc w:val="left"/>
      <w:pPr>
        <w:tabs>
          <w:tab w:val="num" w:pos="6368"/>
        </w:tabs>
        <w:ind w:left="6368" w:hanging="360"/>
      </w:pPr>
    </w:lvl>
    <w:lvl w:ilvl="8" w:tplc="FFFFFFFF" w:tentative="1">
      <w:start w:val="1"/>
      <w:numFmt w:val="lowerRoman"/>
      <w:lvlText w:val="%9."/>
      <w:lvlJc w:val="right"/>
      <w:pPr>
        <w:tabs>
          <w:tab w:val="num" w:pos="7088"/>
        </w:tabs>
        <w:ind w:left="7088" w:hanging="180"/>
      </w:pPr>
    </w:lvl>
  </w:abstractNum>
  <w:abstractNum w:abstractNumId="40" w15:restartNumberingAfterBreak="0">
    <w:nsid w:val="71BF7E17"/>
    <w:multiLevelType w:val="hybridMultilevel"/>
    <w:tmpl w:val="2DCC7B6E"/>
    <w:lvl w:ilvl="0" w:tplc="FFFFFFFF">
      <w:start w:val="1"/>
      <w:numFmt w:val="bullet"/>
      <w:lvlText w:val=""/>
      <w:lvlJc w:val="left"/>
      <w:pPr>
        <w:tabs>
          <w:tab w:val="num" w:pos="113"/>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AC69C2"/>
    <w:multiLevelType w:val="multilevel"/>
    <w:tmpl w:val="8E0E2EB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91157B3"/>
    <w:multiLevelType w:val="hybridMultilevel"/>
    <w:tmpl w:val="490A651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92D7FCC"/>
    <w:multiLevelType w:val="singleLevel"/>
    <w:tmpl w:val="DA78AB10"/>
    <w:lvl w:ilvl="0">
      <w:start w:val="1"/>
      <w:numFmt w:val="bullet"/>
      <w:lvlText w:val=""/>
      <w:legacy w:legacy="1" w:legacySpace="0" w:legacyIndent="283"/>
      <w:lvlJc w:val="left"/>
      <w:pPr>
        <w:ind w:left="283" w:hanging="283"/>
      </w:pPr>
      <w:rPr>
        <w:rFonts w:ascii="Symbol" w:hAnsi="Symbol" w:hint="default"/>
      </w:rPr>
    </w:lvl>
  </w:abstractNum>
  <w:abstractNum w:abstractNumId="44" w15:restartNumberingAfterBreak="0">
    <w:nsid w:val="79C25621"/>
    <w:multiLevelType w:val="singleLevel"/>
    <w:tmpl w:val="056C6D1E"/>
    <w:lvl w:ilvl="0">
      <w:start w:val="1"/>
      <w:numFmt w:val="decimal"/>
      <w:lvlText w:val="%1.  "/>
      <w:lvlJc w:val="left"/>
      <w:pPr>
        <w:tabs>
          <w:tab w:val="num" w:pos="360"/>
        </w:tabs>
        <w:ind w:left="340" w:hanging="340"/>
      </w:pPr>
      <w:rPr>
        <w:b/>
        <w:i w:val="0"/>
      </w:rPr>
    </w:lvl>
  </w:abstractNum>
  <w:abstractNum w:abstractNumId="45" w15:restartNumberingAfterBreak="0">
    <w:nsid w:val="7AC2288F"/>
    <w:multiLevelType w:val="multilevel"/>
    <w:tmpl w:val="CDDC01D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E886861"/>
    <w:multiLevelType w:val="hybridMultilevel"/>
    <w:tmpl w:val="2580FF72"/>
    <w:lvl w:ilvl="0" w:tplc="FFFFFFFF">
      <w:start w:val="1"/>
      <w:numFmt w:val="bullet"/>
      <w:pStyle w:val="A1"/>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
  </w:num>
  <w:num w:numId="3">
    <w:abstractNumId w:val="43"/>
  </w:num>
  <w:num w:numId="4">
    <w:abstractNumId w:val="20"/>
  </w:num>
  <w:num w:numId="5">
    <w:abstractNumId w:val="9"/>
  </w:num>
  <w:num w:numId="6">
    <w:abstractNumId w:val="23"/>
  </w:num>
  <w:num w:numId="7">
    <w:abstractNumId w:val="16"/>
  </w:num>
  <w:num w:numId="8">
    <w:abstractNumId w:val="12"/>
  </w:num>
  <w:num w:numId="9">
    <w:abstractNumId w:val="0"/>
  </w:num>
  <w:num w:numId="10">
    <w:abstractNumId w:val="40"/>
  </w:num>
  <w:num w:numId="11">
    <w:abstractNumId w:val="34"/>
  </w:num>
  <w:num w:numId="12">
    <w:abstractNumId w:val="24"/>
  </w:num>
  <w:num w:numId="13">
    <w:abstractNumId w:val="44"/>
  </w:num>
  <w:num w:numId="14">
    <w:abstractNumId w:val="19"/>
  </w:num>
  <w:num w:numId="15">
    <w:abstractNumId w:val="42"/>
  </w:num>
  <w:num w:numId="16">
    <w:abstractNumId w:val="36"/>
  </w:num>
  <w:num w:numId="17">
    <w:abstractNumId w:val="26"/>
  </w:num>
  <w:num w:numId="18">
    <w:abstractNumId w:val="5"/>
  </w:num>
  <w:num w:numId="19">
    <w:abstractNumId w:val="32"/>
  </w:num>
  <w:num w:numId="20">
    <w:abstractNumId w:val="13"/>
  </w:num>
  <w:num w:numId="21">
    <w:abstractNumId w:val="15"/>
  </w:num>
  <w:num w:numId="22">
    <w:abstractNumId w:val="28"/>
  </w:num>
  <w:num w:numId="23">
    <w:abstractNumId w:val="21"/>
  </w:num>
  <w:num w:numId="24">
    <w:abstractNumId w:val="35"/>
  </w:num>
  <w:num w:numId="25">
    <w:abstractNumId w:val="10"/>
  </w:num>
  <w:num w:numId="26">
    <w:abstractNumId w:val="29"/>
  </w:num>
  <w:num w:numId="27">
    <w:abstractNumId w:val="3"/>
  </w:num>
  <w:num w:numId="28">
    <w:abstractNumId w:val="6"/>
  </w:num>
  <w:num w:numId="29">
    <w:abstractNumId w:val="25"/>
  </w:num>
  <w:num w:numId="30">
    <w:abstractNumId w:val="14"/>
  </w:num>
  <w:num w:numId="31">
    <w:abstractNumId w:val="18"/>
  </w:num>
  <w:num w:numId="32">
    <w:abstractNumId w:val="33"/>
  </w:num>
  <w:num w:numId="33">
    <w:abstractNumId w:val="39"/>
  </w:num>
  <w:num w:numId="34">
    <w:abstractNumId w:val="27"/>
  </w:num>
  <w:num w:numId="35">
    <w:abstractNumId w:val="45"/>
  </w:num>
  <w:num w:numId="36">
    <w:abstractNumId w:val="30"/>
  </w:num>
  <w:num w:numId="37">
    <w:abstractNumId w:val="37"/>
  </w:num>
  <w:num w:numId="38">
    <w:abstractNumId w:val="7"/>
  </w:num>
  <w:num w:numId="39">
    <w:abstractNumId w:val="11"/>
  </w:num>
  <w:num w:numId="40">
    <w:abstractNumId w:val="8"/>
  </w:num>
  <w:num w:numId="41">
    <w:abstractNumId w:val="17"/>
  </w:num>
  <w:num w:numId="42">
    <w:abstractNumId w:val="31"/>
  </w:num>
  <w:num w:numId="43">
    <w:abstractNumId w:val="41"/>
  </w:num>
  <w:num w:numId="44">
    <w:abstractNumId w:val="4"/>
  </w:num>
  <w:num w:numId="45">
    <w:abstractNumId w:val="22"/>
  </w:num>
  <w:num w:numId="46">
    <w:abstractNumId w:val="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evenAndOddHeaders/>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DD8"/>
    <w:rsid w:val="000A19EF"/>
    <w:rsid w:val="00153740"/>
    <w:rsid w:val="0020444D"/>
    <w:rsid w:val="002075FC"/>
    <w:rsid w:val="00290678"/>
    <w:rsid w:val="00296BEC"/>
    <w:rsid w:val="00342384"/>
    <w:rsid w:val="00370BC3"/>
    <w:rsid w:val="00373AAE"/>
    <w:rsid w:val="003841E5"/>
    <w:rsid w:val="0039034B"/>
    <w:rsid w:val="003F6570"/>
    <w:rsid w:val="0043734A"/>
    <w:rsid w:val="00521F1C"/>
    <w:rsid w:val="005C3E71"/>
    <w:rsid w:val="005E3E8E"/>
    <w:rsid w:val="006C2C94"/>
    <w:rsid w:val="00707D41"/>
    <w:rsid w:val="007158FC"/>
    <w:rsid w:val="007C2DD8"/>
    <w:rsid w:val="00826A88"/>
    <w:rsid w:val="008D28CB"/>
    <w:rsid w:val="009608B9"/>
    <w:rsid w:val="00962B85"/>
    <w:rsid w:val="00A30229"/>
    <w:rsid w:val="00A94892"/>
    <w:rsid w:val="00BB1C27"/>
    <w:rsid w:val="00BC3983"/>
    <w:rsid w:val="00BE4567"/>
    <w:rsid w:val="00C10CDD"/>
    <w:rsid w:val="00D33CB2"/>
    <w:rsid w:val="00D35E7C"/>
    <w:rsid w:val="00DD5B80"/>
    <w:rsid w:val="00DE45DB"/>
    <w:rsid w:val="00E2493D"/>
    <w:rsid w:val="00E36220"/>
    <w:rsid w:val="00FB1142"/>
    <w:rsid w:val="00FC77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4A2993"/>
  <w15:chartTrackingRefBased/>
  <w15:docId w15:val="{0766C219-DCB3-4595-9004-8C4AB2F3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qFormat/>
    <w:rsid w:val="002075FC"/>
    <w:pPr>
      <w:keepNext/>
      <w:numPr>
        <w:ilvl w:val="1"/>
        <w:numId w:val="16"/>
      </w:numPr>
      <w:suppressAutoHyphens/>
      <w:spacing w:before="240" w:after="60"/>
      <w:outlineLvl w:val="1"/>
    </w:pPr>
    <w:rPr>
      <w:b/>
      <w:bCs/>
      <w:iCs/>
      <w:kern w:val="32"/>
    </w:rPr>
  </w:style>
  <w:style w:type="paragraph" w:styleId="berschrift3">
    <w:name w:val="heading 3"/>
    <w:aliases w:val="Heading 3"/>
    <w:basedOn w:val="Standard"/>
    <w:next w:val="Standard"/>
    <w:qFormat/>
    <w:pPr>
      <w:keepNext/>
      <w:numPr>
        <w:numId w:val="17"/>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qFormat/>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qFormat/>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erschrift1">
    <w:name w:val="A_Überschrift1"/>
    <w:basedOn w:val="Standard"/>
    <w:rsid w:val="0039034B"/>
    <w:pPr>
      <w:keepNext/>
      <w:keepLines/>
      <w:tabs>
        <w:tab w:val="left" w:pos="851"/>
      </w:tabs>
      <w:spacing w:before="240" w:after="120"/>
    </w:pPr>
    <w:rPr>
      <w:b/>
    </w:rPr>
  </w:style>
  <w:style w:type="paragraph" w:customStyle="1" w:styleId="Aberschrift2">
    <w:name w:val="A_Überschrift2"/>
    <w:basedOn w:val="Aberschrift1"/>
    <w:next w:val="AText"/>
    <w:rsid w:val="0039034B"/>
  </w:style>
  <w:style w:type="paragraph" w:customStyle="1" w:styleId="AText">
    <w:name w:val="A_Text"/>
    <w:basedOn w:val="Standard"/>
    <w:pPr>
      <w:spacing w:after="60"/>
      <w:jc w:val="both"/>
    </w:pPr>
  </w:style>
  <w:style w:type="paragraph" w:customStyle="1" w:styleId="ATitel">
    <w:name w:val="A_Titel"/>
    <w:basedOn w:val="Standard"/>
    <w:pPr>
      <w:spacing w:before="360" w:after="120"/>
      <w:jc w:val="center"/>
    </w:pPr>
    <w:rPr>
      <w:b/>
      <w:smallCaps/>
      <w:sz w:val="28"/>
    </w:rPr>
  </w:style>
  <w:style w:type="paragraph" w:customStyle="1" w:styleId="AAutoren">
    <w:name w:val="A_Autoren"/>
    <w:basedOn w:val="Standard"/>
    <w:pPr>
      <w:spacing w:before="120" w:after="720"/>
      <w:jc w:val="center"/>
    </w:pPr>
    <w:rPr>
      <w:i/>
    </w:rPr>
  </w:style>
  <w:style w:type="paragraph" w:customStyle="1" w:styleId="AZusammenfassung">
    <w:name w:val="A_Zusammenfassung"/>
    <w:basedOn w:val="Standard"/>
    <w:pPr>
      <w:spacing w:before="240" w:after="120"/>
    </w:pPr>
    <w:rPr>
      <w:b/>
    </w:rPr>
  </w:style>
  <w:style w:type="paragraph" w:customStyle="1" w:styleId="AKeywords">
    <w:name w:val="A_Keywords"/>
    <w:basedOn w:val="Standard"/>
    <w:pPr>
      <w:spacing w:before="240" w:after="120"/>
    </w:pPr>
    <w:rPr>
      <w:b/>
    </w:rPr>
  </w:style>
  <w:style w:type="paragraph" w:customStyle="1" w:styleId="ATabelle">
    <w:name w:val="A_Tabelle"/>
    <w:basedOn w:val="Standard"/>
    <w:link w:val="ATabelleZchn"/>
    <w:rsid w:val="005C3E71"/>
    <w:pPr>
      <w:keepNext/>
      <w:keepLines/>
      <w:spacing w:before="120" w:after="60"/>
    </w:pPr>
    <w:rPr>
      <w:b/>
      <w:szCs w:val="20"/>
    </w:rPr>
  </w:style>
  <w:style w:type="paragraph" w:customStyle="1" w:styleId="AAbbildung">
    <w:name w:val="A_Abbildung"/>
    <w:basedOn w:val="ATabelle"/>
    <w:link w:val="AAbbildungZchn"/>
    <w:rsid w:val="000A19EF"/>
  </w:style>
  <w:style w:type="paragraph" w:customStyle="1" w:styleId="AAnmerkung">
    <w:name w:val="A_Anmerkung"/>
    <w:basedOn w:val="Standard"/>
    <w:pPr>
      <w:tabs>
        <w:tab w:val="left" w:pos="709"/>
      </w:tabs>
      <w:spacing w:before="60"/>
      <w:jc w:val="both"/>
    </w:pPr>
    <w:rPr>
      <w:sz w:val="20"/>
    </w:rPr>
  </w:style>
  <w:style w:type="paragraph" w:customStyle="1" w:styleId="AQuelle">
    <w:name w:val="A_Quelle"/>
    <w:basedOn w:val="Standard"/>
    <w:pPr>
      <w:tabs>
        <w:tab w:val="left" w:pos="709"/>
      </w:tabs>
      <w:spacing w:before="60" w:after="120"/>
      <w:jc w:val="both"/>
    </w:pPr>
    <w:rPr>
      <w:sz w:val="20"/>
    </w:rPr>
  </w:style>
  <w:style w:type="paragraph" w:customStyle="1" w:styleId="ALiteratur">
    <w:name w:val="A_Literatur"/>
    <w:basedOn w:val="Standard"/>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paragraph" w:customStyle="1" w:styleId="AbsatzNummer">
    <w:name w:val="Absatz (Nummer)"/>
    <w:basedOn w:val="Standard"/>
    <w:pPr>
      <w:numPr>
        <w:numId w:val="39"/>
      </w:numPr>
      <w:tabs>
        <w:tab w:val="left" w:pos="567"/>
      </w:tabs>
      <w:spacing w:before="120" w:after="120"/>
    </w:pPr>
    <w:rPr>
      <w:sz w:val="22"/>
      <w:szCs w:val="22"/>
      <w:lang w:val="en-GB"/>
    </w:rPr>
  </w:style>
  <w:style w:type="character" w:styleId="Funotenzeichen">
    <w:name w:val="footnote reference"/>
    <w:aliases w:val="Footnote Reference1,Footnote Reference Number"/>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styleId="Fuzeile">
    <w:name w:val="footer"/>
    <w:basedOn w:val="Standard"/>
    <w:pPr>
      <w:tabs>
        <w:tab w:val="center" w:pos="4536"/>
        <w:tab w:val="right" w:pos="9072"/>
      </w:tabs>
    </w:pPr>
    <w:rPr>
      <w:sz w:val="20"/>
      <w:szCs w:val="20"/>
    </w:rPr>
  </w:style>
  <w:style w:type="paragraph" w:customStyle="1" w:styleId="AFunote">
    <w:name w:val="A_Fußnote"/>
    <w:basedOn w:val="Standard"/>
    <w:link w:val="AFunoteZchn"/>
    <w:pPr>
      <w:tabs>
        <w:tab w:val="left" w:pos="227"/>
      </w:tabs>
      <w:jc w:val="both"/>
    </w:pPr>
    <w:rPr>
      <w:sz w:val="20"/>
      <w:lang w:val="en-GB"/>
    </w:rPr>
  </w:style>
  <w:style w:type="paragraph" w:customStyle="1" w:styleId="ALiteraturangaben">
    <w:name w:val="A_Literaturangaben"/>
    <w:basedOn w:val="Standard"/>
    <w:pPr>
      <w:spacing w:after="60"/>
      <w:ind w:left="567" w:hanging="567"/>
      <w:jc w:val="both"/>
    </w:pPr>
    <w:rPr>
      <w:sz w:val="22"/>
      <w:szCs w:val="20"/>
    </w:rPr>
  </w:style>
  <w:style w:type="paragraph" w:customStyle="1" w:styleId="AAufzhlung">
    <w:name w:val="A_Aufzählung"/>
    <w:basedOn w:val="Standard"/>
    <w:rsid w:val="002075FC"/>
    <w:pPr>
      <w:numPr>
        <w:numId w:val="47"/>
      </w:numPr>
      <w:spacing w:after="60"/>
      <w:jc w:val="both"/>
    </w:pPr>
    <w:rPr>
      <w:szCs w:val="20"/>
    </w:rPr>
  </w:style>
  <w:style w:type="paragraph" w:customStyle="1" w:styleId="ATabellentext">
    <w:name w:val="A_Tabellentext"/>
    <w:basedOn w:val="AText"/>
    <w:pPr>
      <w:jc w:val="left"/>
    </w:pPr>
    <w:rPr>
      <w:sz w:val="22"/>
    </w:rPr>
  </w:style>
  <w:style w:type="paragraph" w:customStyle="1" w:styleId="ATabellenaufzhlung">
    <w:name w:val="A_Tabellenaufzählung"/>
    <w:basedOn w:val="Standard"/>
    <w:rsid w:val="002075FC"/>
    <w:pPr>
      <w:numPr>
        <w:numId w:val="46"/>
      </w:numPr>
      <w:spacing w:after="60"/>
      <w:ind w:left="357" w:hanging="357"/>
    </w:pPr>
    <w:rPr>
      <w:sz w:val="22"/>
      <w:szCs w:val="20"/>
    </w:rPr>
  </w:style>
  <w:style w:type="paragraph" w:customStyle="1" w:styleId="ATabellentextfett">
    <w:name w:val="A_Tabellentext fett"/>
    <w:basedOn w:val="ATabellentext"/>
    <w:rPr>
      <w:rFonts w:ascii="Times New Roman Fett" w:hAnsi="Times New Roman Fett"/>
      <w:b/>
      <w:bCs/>
    </w:rPr>
  </w:style>
  <w:style w:type="paragraph" w:styleId="Kopfzeile">
    <w:name w:val="header"/>
    <w:basedOn w:val="Standard"/>
    <w:pPr>
      <w:tabs>
        <w:tab w:val="center" w:pos="4536"/>
        <w:tab w:val="right" w:pos="9072"/>
      </w:tabs>
    </w:pPr>
  </w:style>
  <w:style w:type="paragraph" w:customStyle="1" w:styleId="AKopfzeile">
    <w:name w:val="A_Kopfzeile"/>
    <w:basedOn w:val="ALiteraturangaben"/>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 w:type="character" w:customStyle="1" w:styleId="AFunoteZchn">
    <w:name w:val="A_Fußnote Zchn"/>
    <w:link w:val="AFunote"/>
    <w:rsid w:val="006C2C94"/>
    <w:rPr>
      <w:szCs w:val="24"/>
      <w:lang w:val="en-GB" w:eastAsia="de-DE" w:bidi="ar-SA"/>
    </w:rPr>
  </w:style>
  <w:style w:type="character" w:customStyle="1" w:styleId="ATabelleZchn">
    <w:name w:val="A_Tabelle Zchn"/>
    <w:link w:val="ATabelle"/>
    <w:rsid w:val="00D33CB2"/>
    <w:rPr>
      <w:b/>
      <w:sz w:val="24"/>
      <w:lang w:val="de-DE" w:eastAsia="de-DE" w:bidi="ar-SA"/>
    </w:rPr>
  </w:style>
  <w:style w:type="character" w:customStyle="1" w:styleId="AAbbildungZchn">
    <w:name w:val="A_Abbildung Zchn"/>
    <w:link w:val="AAbbildung"/>
    <w:rsid w:val="00D33CB2"/>
    <w:rPr>
      <w:b/>
      <w:sz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herkner\LOKALE~1\Temp\format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formatvorlage.dot</Template>
  <TotalTime>0</TotalTime>
  <Pages>4</Pages>
  <Words>1387</Words>
  <Characters>8744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Vorlage Tagungsband</vt:lpstr>
    </vt:vector>
  </TitlesOfParts>
  <Company>Institut für Agrarpolitik und Marktforschung</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Tagungsband</dc:title>
  <dc:subject/>
  <dc:creator>GEWISOLA</dc:creator>
  <cp:keywords/>
  <dc:description/>
  <cp:lastModifiedBy>Kerstin Oertel</cp:lastModifiedBy>
  <cp:revision>2</cp:revision>
  <cp:lastPrinted>2007-04-10T12:16:00Z</cp:lastPrinted>
  <dcterms:created xsi:type="dcterms:W3CDTF">2020-12-11T11:40:00Z</dcterms:created>
  <dcterms:modified xsi:type="dcterms:W3CDTF">2020-12-11T11:40:00Z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-2009365419</vt:i4>
  </property>
  <property fmtid="{D5CDD505-2E9C-101B-9397-08002B2CF9AE}" pid="3" name="_EmailSubject">
    <vt:lpwstr>GEWISOLA/ÖGA - wichtige Unterlagen</vt:lpwstr>
  </property>
  <property fmtid="{D5CDD505-2E9C-101B-9397-08002B2CF9AE}" pid="4" name="_AuthorEmail">
    <vt:lpwstr>Weinbrunn@wzw.tum.de</vt:lpwstr>
  </property>
  <property fmtid="{D5CDD505-2E9C-101B-9397-08002B2CF9AE}" pid="5" name="_AuthorEmailDisplayName">
    <vt:lpwstr>Roswitha Weinbrunn</vt:lpwstr>
  </property>
  <property fmtid="{D5CDD505-2E9C-101B-9397-08002B2CF9AE}" pid="6" name="_ReviewingToolsShownOnce">
    <vt:lpwstr/>
  </property>
</Properties>
</file>